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1" w:rsidRDefault="00F8300E">
      <w:r>
        <w:rPr>
          <w:noProof/>
        </w:rPr>
        <w:pict>
          <v:rect id="_x0000_s1027" style="position:absolute;margin-left:332.85pt;margin-top:28pt;width:170.75pt;height:84.6pt;z-index:251659264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pt;margin-top:513pt;width:5in;height:189pt;z-index:251661312" strokecolor="white">
            <v:textbox style="mso-next-textbox:#_x0000_s1028">
              <w:txbxContent>
                <w:p w:rsidR="0012034E" w:rsidRDefault="0012034E" w:rsidP="009178C1">
                  <w:pPr>
                    <w:jc w:val="center"/>
                    <w:rPr>
                      <w:sz w:val="20"/>
                    </w:rPr>
                  </w:pPr>
                </w:p>
                <w:p w:rsidR="0012034E" w:rsidRDefault="0012034E" w:rsidP="009178C1">
                  <w:pPr>
                    <w:jc w:val="center"/>
                    <w:rPr>
                      <w:sz w:val="20"/>
                    </w:rPr>
                  </w:pPr>
                </w:p>
                <w:p w:rsidR="0012034E" w:rsidRPr="00027613" w:rsidRDefault="0012034E" w:rsidP="009178C1">
                  <w:pPr>
                    <w:jc w:val="center"/>
                    <w:rPr>
                      <w:rFonts w:ascii="Perpetua" w:hAnsi="Perpetua"/>
                      <w:b/>
                      <w:sz w:val="44"/>
                      <w:szCs w:val="44"/>
                    </w:rPr>
                  </w:pPr>
                  <w:r w:rsidRPr="00027613">
                    <w:rPr>
                      <w:rFonts w:ascii="Perpetua" w:hAnsi="Perpetua"/>
                      <w:b/>
                      <w:sz w:val="44"/>
                      <w:szCs w:val="44"/>
                    </w:rPr>
                    <w:t xml:space="preserve">Gli immigrati e le G2 </w:t>
                  </w:r>
                </w:p>
                <w:p w:rsidR="0012034E" w:rsidRPr="00027613" w:rsidRDefault="0012034E" w:rsidP="009178C1">
                  <w:pPr>
                    <w:jc w:val="center"/>
                    <w:rPr>
                      <w:rFonts w:ascii="Perpetua" w:hAnsi="Perpetua"/>
                      <w:b/>
                      <w:sz w:val="44"/>
                      <w:szCs w:val="44"/>
                    </w:rPr>
                  </w:pPr>
                  <w:r w:rsidRPr="00027613">
                    <w:rPr>
                      <w:rFonts w:ascii="Perpetua" w:hAnsi="Perpetua"/>
                      <w:b/>
                      <w:sz w:val="44"/>
                      <w:szCs w:val="44"/>
                    </w:rPr>
                    <w:t>in provincia di Arezzo</w:t>
                  </w:r>
                </w:p>
                <w:p w:rsidR="0012034E" w:rsidRPr="00027613" w:rsidRDefault="0012034E" w:rsidP="009178C1">
                  <w:pPr>
                    <w:jc w:val="center"/>
                    <w:rPr>
                      <w:rFonts w:ascii="Perpetua" w:hAnsi="Perpetua"/>
                      <w:sz w:val="44"/>
                      <w:szCs w:val="44"/>
                    </w:rPr>
                  </w:pPr>
                  <w:r w:rsidRPr="00027613">
                    <w:rPr>
                      <w:rFonts w:ascii="Perpetua" w:hAnsi="Perpetua"/>
                      <w:sz w:val="44"/>
                      <w:szCs w:val="44"/>
                    </w:rPr>
                    <w:t>(all’1/1/2014)</w:t>
                  </w:r>
                </w:p>
                <w:p w:rsidR="0012034E" w:rsidRPr="00027613" w:rsidRDefault="0012034E" w:rsidP="009178C1">
                  <w:pPr>
                    <w:jc w:val="center"/>
                    <w:rPr>
                      <w:rFonts w:ascii="Perpetua" w:hAnsi="Perpetua"/>
                      <w:i/>
                      <w:sz w:val="36"/>
                      <w:szCs w:val="36"/>
                    </w:rPr>
                  </w:pPr>
                </w:p>
                <w:p w:rsidR="0012034E" w:rsidRPr="00027613" w:rsidRDefault="0012034E" w:rsidP="00027613">
                  <w:pPr>
                    <w:jc w:val="center"/>
                    <w:rPr>
                      <w:rFonts w:ascii="Perpetua" w:hAnsi="Perpetua"/>
                      <w:i/>
                      <w:sz w:val="36"/>
                      <w:szCs w:val="36"/>
                    </w:rPr>
                  </w:pPr>
                  <w:r w:rsidRPr="00027613">
                    <w:rPr>
                      <w:rFonts w:ascii="Perpetua" w:hAnsi="Perpetua"/>
                      <w:sz w:val="36"/>
                      <w:szCs w:val="36"/>
                    </w:rPr>
                    <w:t>Rapporto di sintesi n. 47- dicembre 2014</w:t>
                  </w:r>
                </w:p>
              </w:txbxContent>
            </v:textbox>
          </v:shape>
        </w:pict>
      </w:r>
      <w:r w:rsidRPr="00F8300E">
        <w:rPr>
          <w:szCs w:val="20"/>
        </w:rPr>
        <w:pict>
          <v:rect id="_x0000_s1029" style="position:absolute;margin-left:306pt;margin-top:18pt;width:153pt;height:89.85pt;z-index:251662336" stroked="f"/>
        </w:pict>
      </w:r>
      <w:r w:rsidR="009178C1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471170</wp:posOffset>
            </wp:positionV>
            <wp:extent cx="1714500" cy="501015"/>
            <wp:effectExtent l="19050" t="0" r="0" b="0"/>
            <wp:wrapNone/>
            <wp:docPr id="6" name="Immagine 6" descr="oi_solhz_b_ita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i_solhz_b_ital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8C1">
        <w:rPr>
          <w:noProof/>
        </w:rPr>
        <w:drawing>
          <wp:inline distT="0" distB="0" distL="0" distR="0">
            <wp:extent cx="6120765" cy="9041765"/>
            <wp:effectExtent l="19050" t="0" r="0" b="0"/>
            <wp:docPr id="4" name="Immagine 4" descr="copertina(OK) A-4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(OK) A-4 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06" w:rsidRDefault="004F3206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Provincia di Arezzo – Assessorato alle Politiche Sociali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Osservatorio sulle Politiche Sociali- Sezione Immigrazione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Via F. Redi, 13 – 52100 Arezzo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tel. 0575.39981 – fax 0575.3998226 - www.provincia.arezzo.it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 xml:space="preserve">Responsabile Osservatorio: Marco </w:t>
      </w:r>
      <w:smartTag w:uri="urn:schemas-microsoft-com:office:smarttags" w:element="PersonName">
        <w:smartTagPr>
          <w:attr w:name="ProductID" w:val="La Mastra"/>
        </w:smartTagPr>
        <w:r w:rsidRPr="00E02C2E">
          <w:rPr>
            <w:rFonts w:ascii="Perpetua" w:hAnsi="Perpetua"/>
          </w:rPr>
          <w:t>La Mastra</w:t>
        </w:r>
      </w:smartTag>
      <w:r w:rsidRPr="00E02C2E">
        <w:rPr>
          <w:rFonts w:ascii="Perpetua" w:hAnsi="Perpetua"/>
        </w:rPr>
        <w:t xml:space="preserve"> (osservatorio@provincia.arezzo.it)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Oxfam Italia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 xml:space="preserve">Via Concino </w:t>
      </w:r>
      <w:proofErr w:type="spellStart"/>
      <w:r w:rsidRPr="00E02C2E">
        <w:rPr>
          <w:rFonts w:ascii="Perpetua" w:hAnsi="Perpetua"/>
        </w:rPr>
        <w:t>Concini</w:t>
      </w:r>
      <w:proofErr w:type="spellEnd"/>
      <w:r w:rsidRPr="00E02C2E">
        <w:rPr>
          <w:rFonts w:ascii="Perpetua" w:hAnsi="Perpetua"/>
        </w:rPr>
        <w:t>, 19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52100 Arezzo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tel. 0575.401780 – fax 0575.401772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www.oxfamitalia.it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Responsabile progetto “Sezione Immigrazione”: Giovanna Tizzi (giovanna.tizzi@oxfam.it)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  <w:r w:rsidRPr="00E02C2E">
        <w:rPr>
          <w:rFonts w:ascii="Perpetua" w:hAnsi="Perpetua"/>
          <w:b/>
          <w:bCs/>
        </w:rPr>
        <w:t>Rapporto n. 4</w:t>
      </w:r>
      <w:r>
        <w:rPr>
          <w:rFonts w:ascii="Perpetua" w:hAnsi="Perpetua"/>
          <w:b/>
          <w:bCs/>
        </w:rPr>
        <w:t>7</w:t>
      </w:r>
      <w:r w:rsidRPr="00E02C2E">
        <w:rPr>
          <w:rFonts w:ascii="Perpetua" w:hAnsi="Perpetua"/>
        </w:rPr>
        <w:t xml:space="preserve"> – </w:t>
      </w:r>
      <w:r>
        <w:rPr>
          <w:rFonts w:ascii="Perpetua" w:hAnsi="Perpetua"/>
        </w:rPr>
        <w:t>Gli immigrati e le G2 in provincia di Arezzo. Rapporto di sintesi</w:t>
      </w:r>
      <w:r>
        <w:rPr>
          <w:rFonts w:ascii="Perpetua" w:hAnsi="Perpetua"/>
          <w:i/>
        </w:rPr>
        <w:t xml:space="preserve"> (all’1/1/2014)</w:t>
      </w: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  <w:r w:rsidRPr="00E02C2E">
        <w:rPr>
          <w:rFonts w:ascii="Perpetua" w:hAnsi="Perpetua"/>
          <w:i/>
          <w:iCs/>
        </w:rPr>
        <w:t>Redattor</w:t>
      </w:r>
      <w:r>
        <w:rPr>
          <w:rFonts w:ascii="Perpetua" w:hAnsi="Perpetua"/>
          <w:i/>
          <w:iCs/>
        </w:rPr>
        <w:t>e</w:t>
      </w:r>
      <w:r w:rsidRPr="00E02C2E">
        <w:rPr>
          <w:rFonts w:ascii="Perpetua" w:hAnsi="Perpetua"/>
        </w:rPr>
        <w:t xml:space="preserve">: </w:t>
      </w:r>
      <w:r>
        <w:rPr>
          <w:rFonts w:ascii="Perpetua" w:hAnsi="Perpetua"/>
        </w:rPr>
        <w:t>Lorenzo Luatti (lorenzo.luatti@oxfam.it)</w:t>
      </w: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  <w:r>
        <w:rPr>
          <w:rFonts w:ascii="Perpetua" w:hAnsi="Perpetua"/>
        </w:rPr>
        <w:t>Elaborazioni statistiche: Marco La Mastra</w:t>
      </w:r>
    </w:p>
    <w:p w:rsidR="00027613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  <w:r w:rsidRPr="00E02C2E">
        <w:rPr>
          <w:rFonts w:ascii="Perpetua" w:hAnsi="Perpetua"/>
          <w:i/>
          <w:iCs/>
        </w:rPr>
        <w:t>Luogo e data di pubblicazione</w:t>
      </w:r>
      <w:r w:rsidRPr="00E02C2E">
        <w:rPr>
          <w:rFonts w:ascii="Perpetua" w:hAnsi="Perpetua"/>
        </w:rPr>
        <w:t xml:space="preserve">: Arezzo, </w:t>
      </w:r>
      <w:r>
        <w:rPr>
          <w:rFonts w:ascii="Perpetua" w:hAnsi="Perpetua"/>
        </w:rPr>
        <w:t xml:space="preserve">dicembre </w:t>
      </w:r>
      <w:r w:rsidRPr="00E02C2E">
        <w:rPr>
          <w:rFonts w:ascii="Perpetua" w:hAnsi="Perpetua"/>
        </w:rPr>
        <w:t>2014</w:t>
      </w:r>
    </w:p>
    <w:p w:rsidR="00027613" w:rsidRPr="00E02C2E" w:rsidRDefault="00027613" w:rsidP="0010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 xml:space="preserve">Tutti i rapporti elaborati dalla Sezione Immigrazione sono pubblicati nei siti internet della Provincia di Arezzo, alla pagina dell’Osservatorio Provinciale sulle Politiche Sociali (www.provincia.arezzo.it) </w:t>
      </w:r>
      <w:r w:rsidRPr="00E02C2E">
        <w:rPr>
          <w:rFonts w:ascii="Perpetua" w:hAnsi="Perpetua"/>
          <w:bCs/>
        </w:rPr>
        <w:t>e di Oxfam Italia, alla pagina relativa alle attività dell’Ufficio Immigrazione (www.oxfamitalia.org).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4F3206" w:rsidRDefault="004F3206" w:rsidP="00027613">
      <w:pPr>
        <w:jc w:val="both"/>
        <w:rPr>
          <w:rFonts w:ascii="Perpetua" w:hAnsi="Perpetua"/>
        </w:rPr>
      </w:pPr>
    </w:p>
    <w:p w:rsidR="004F3206" w:rsidRDefault="004F3206" w:rsidP="00027613">
      <w:pPr>
        <w:jc w:val="both"/>
        <w:rPr>
          <w:rFonts w:ascii="Perpetua" w:hAnsi="Perpetua"/>
        </w:rPr>
      </w:pPr>
    </w:p>
    <w:p w:rsidR="004F3206" w:rsidRDefault="004F3206" w:rsidP="00027613">
      <w:pPr>
        <w:jc w:val="both"/>
        <w:rPr>
          <w:rFonts w:ascii="Perpetua" w:hAnsi="Perpetua"/>
        </w:rPr>
      </w:pPr>
    </w:p>
    <w:p w:rsidR="004F3206" w:rsidRDefault="004F3206" w:rsidP="00027613">
      <w:pPr>
        <w:jc w:val="both"/>
        <w:rPr>
          <w:rFonts w:ascii="Perpetua" w:hAnsi="Perpetua"/>
        </w:rPr>
      </w:pPr>
    </w:p>
    <w:p w:rsidR="004F3206" w:rsidRDefault="004F3206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  <w:r w:rsidRPr="00E02C2E">
        <w:rPr>
          <w:rFonts w:ascii="Perpetua" w:hAnsi="Perpetua"/>
        </w:rPr>
        <w:t>Progetto realizzato con il contributo della Regione Toscana e della Provincia di Arezzo.</w:t>
      </w: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Pr="00E02C2E" w:rsidRDefault="00027613" w:rsidP="00027613">
      <w:pPr>
        <w:jc w:val="both"/>
        <w:rPr>
          <w:rFonts w:ascii="Perpetua" w:hAnsi="Perpetua"/>
        </w:rPr>
      </w:pPr>
    </w:p>
    <w:p w:rsidR="00027613" w:rsidRDefault="00027613" w:rsidP="00027613">
      <w:pPr>
        <w:jc w:val="both"/>
        <w:rPr>
          <w:rFonts w:ascii="Perpetua" w:hAnsi="Perpetua"/>
        </w:rPr>
      </w:pPr>
    </w:p>
    <w:p w:rsidR="004F3206" w:rsidRDefault="004F3206" w:rsidP="00027613">
      <w:pPr>
        <w:jc w:val="both"/>
        <w:rPr>
          <w:rFonts w:ascii="Perpetua" w:hAnsi="Perpetua"/>
        </w:rPr>
      </w:pPr>
    </w:p>
    <w:p w:rsidR="004F3206" w:rsidRPr="00E02C2E" w:rsidRDefault="004F3206" w:rsidP="00027613">
      <w:pPr>
        <w:jc w:val="both"/>
        <w:rPr>
          <w:rFonts w:ascii="Perpetua" w:hAnsi="Perpetua"/>
        </w:rPr>
      </w:pPr>
    </w:p>
    <w:p w:rsidR="0088675B" w:rsidRPr="004F5E49" w:rsidRDefault="00027613">
      <w:pPr>
        <w:rPr>
          <w:rFonts w:ascii="Perpetua" w:hAnsi="Perpetua"/>
          <w:b/>
        </w:rPr>
      </w:pPr>
      <w:r w:rsidRPr="004F5E49">
        <w:rPr>
          <w:rFonts w:ascii="Perpetua" w:hAnsi="Perpetua"/>
          <w:b/>
        </w:rPr>
        <w:t xml:space="preserve">1. </w:t>
      </w:r>
      <w:r w:rsidR="00B05B72" w:rsidRPr="004F5E49">
        <w:rPr>
          <w:rFonts w:ascii="Perpetua" w:hAnsi="Perpetua"/>
          <w:b/>
        </w:rPr>
        <w:t>Una novità assoluta: la dim</w:t>
      </w:r>
      <w:r w:rsidR="00315E6F" w:rsidRPr="004F5E49">
        <w:rPr>
          <w:rFonts w:ascii="Perpetua" w:hAnsi="Perpetua"/>
          <w:b/>
        </w:rPr>
        <w:t>inuzione del</w:t>
      </w:r>
      <w:r w:rsidR="00B05B72" w:rsidRPr="004F5E49">
        <w:rPr>
          <w:rFonts w:ascii="Perpetua" w:hAnsi="Perpetua"/>
          <w:b/>
        </w:rPr>
        <w:t xml:space="preserve"> numero di</w:t>
      </w:r>
      <w:r w:rsidR="0088675B" w:rsidRPr="004F5E49">
        <w:rPr>
          <w:rFonts w:ascii="Perpetua" w:hAnsi="Perpetua"/>
          <w:b/>
        </w:rPr>
        <w:t xml:space="preserve"> immigrati</w:t>
      </w:r>
      <w:r w:rsidR="00315E6F" w:rsidRPr="004F5E49">
        <w:rPr>
          <w:rFonts w:ascii="Perpetua" w:hAnsi="Perpetua"/>
          <w:b/>
        </w:rPr>
        <w:t xml:space="preserve"> residenti</w:t>
      </w:r>
    </w:p>
    <w:p w:rsidR="00027613" w:rsidRPr="004F5E49" w:rsidRDefault="00027613" w:rsidP="00F57EB5">
      <w:pPr>
        <w:jc w:val="both"/>
        <w:rPr>
          <w:rFonts w:ascii="Perpetua" w:hAnsi="Perpetua"/>
        </w:rPr>
      </w:pPr>
    </w:p>
    <w:p w:rsidR="009B1E7F" w:rsidRPr="004F5E49" w:rsidRDefault="0088675B" w:rsidP="00F57EB5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>Per la prima volta</w:t>
      </w:r>
      <w:r w:rsidR="009B1E7F" w:rsidRPr="004F5E49">
        <w:rPr>
          <w:rFonts w:ascii="Perpetua" w:hAnsi="Perpetua"/>
        </w:rPr>
        <w:t>, dopo</w:t>
      </w:r>
      <w:r w:rsidRPr="004F5E49">
        <w:rPr>
          <w:rFonts w:ascii="Perpetua" w:hAnsi="Perpetua"/>
        </w:rPr>
        <w:t xml:space="preserve"> </w:t>
      </w:r>
      <w:r w:rsidR="00A51EA7" w:rsidRPr="004F5E49">
        <w:rPr>
          <w:rFonts w:ascii="Perpetua" w:hAnsi="Perpetua"/>
        </w:rPr>
        <w:t>circa</w:t>
      </w:r>
      <w:r w:rsidR="00315E6F" w:rsidRPr="004F5E49">
        <w:rPr>
          <w:rFonts w:ascii="Perpetua" w:hAnsi="Perpetua"/>
        </w:rPr>
        <w:t xml:space="preserve"> 30</w:t>
      </w:r>
      <w:r w:rsidRPr="004F5E49">
        <w:rPr>
          <w:rFonts w:ascii="Perpetua" w:hAnsi="Perpetua"/>
        </w:rPr>
        <w:t xml:space="preserve"> anni di </w:t>
      </w:r>
      <w:r w:rsidR="00605E1E" w:rsidRPr="004F5E49">
        <w:rPr>
          <w:rFonts w:ascii="Perpetua" w:hAnsi="Perpetua"/>
        </w:rPr>
        <w:t xml:space="preserve">crescenti </w:t>
      </w:r>
      <w:r w:rsidRPr="004F5E49">
        <w:rPr>
          <w:rFonts w:ascii="Perpetua" w:hAnsi="Perpetua"/>
        </w:rPr>
        <w:t xml:space="preserve">flussi </w:t>
      </w:r>
      <w:r w:rsidR="0089068C" w:rsidRPr="004F5E49">
        <w:rPr>
          <w:rFonts w:ascii="Perpetua" w:hAnsi="Perpetua"/>
        </w:rPr>
        <w:t>im</w:t>
      </w:r>
      <w:r w:rsidRPr="004F5E49">
        <w:rPr>
          <w:rFonts w:ascii="Perpetua" w:hAnsi="Perpetua"/>
        </w:rPr>
        <w:t xml:space="preserve">migratori </w:t>
      </w:r>
      <w:r w:rsidR="00605E1E" w:rsidRPr="004F5E49">
        <w:rPr>
          <w:rFonts w:ascii="Perpetua" w:hAnsi="Perpetua"/>
        </w:rPr>
        <w:t>dall’estero</w:t>
      </w:r>
      <w:r w:rsidR="009B1E7F" w:rsidRPr="004F5E49">
        <w:rPr>
          <w:rFonts w:ascii="Perpetua" w:hAnsi="Perpetua"/>
        </w:rPr>
        <w:t>,</w:t>
      </w:r>
      <w:r w:rsidRPr="004F5E49">
        <w:rPr>
          <w:rFonts w:ascii="Perpetua" w:hAnsi="Perpetua"/>
        </w:rPr>
        <w:t xml:space="preserve"> la presenza</w:t>
      </w:r>
      <w:r w:rsidR="009B1E7F" w:rsidRPr="004F5E49">
        <w:rPr>
          <w:rFonts w:ascii="Perpetua" w:hAnsi="Perpetua"/>
        </w:rPr>
        <w:t xml:space="preserve"> complessiva</w:t>
      </w:r>
      <w:r w:rsidRPr="004F5E49">
        <w:rPr>
          <w:rFonts w:ascii="Perpetua" w:hAnsi="Perpetua"/>
        </w:rPr>
        <w:t xml:space="preserve"> di cittadini stranieri </w:t>
      </w:r>
      <w:r w:rsidR="009B1E7F" w:rsidRPr="004F5E49">
        <w:rPr>
          <w:rFonts w:ascii="Perpetua" w:hAnsi="Perpetua"/>
        </w:rPr>
        <w:t xml:space="preserve">in provincia di Arezzo è in declino: </w:t>
      </w:r>
      <w:r w:rsidR="00A26759" w:rsidRPr="004F5E49">
        <w:rPr>
          <w:rFonts w:ascii="Perpetua" w:hAnsi="Perpetua"/>
        </w:rPr>
        <w:t xml:space="preserve">il ridimensionamento </w:t>
      </w:r>
      <w:r w:rsidR="00605E1E" w:rsidRPr="004F5E49">
        <w:rPr>
          <w:rFonts w:ascii="Perpetua" w:hAnsi="Perpetua"/>
        </w:rPr>
        <w:t>prodottosi</w:t>
      </w:r>
      <w:r w:rsidR="00A26759" w:rsidRPr="004F5E49">
        <w:rPr>
          <w:rFonts w:ascii="Perpetua" w:hAnsi="Perpetua"/>
        </w:rPr>
        <w:t xml:space="preserve"> è pari al 7%.</w:t>
      </w:r>
      <w:r w:rsidR="009B1E7F" w:rsidRPr="004F5E49">
        <w:rPr>
          <w:rFonts w:ascii="Perpetua" w:hAnsi="Perpetua"/>
        </w:rPr>
        <w:t xml:space="preserve"> G</w:t>
      </w:r>
      <w:r w:rsidR="000D17D6" w:rsidRPr="004F5E49">
        <w:rPr>
          <w:rFonts w:ascii="Perpetua" w:hAnsi="Perpetua"/>
        </w:rPr>
        <w:t xml:space="preserve">li stranieri residenti </w:t>
      </w:r>
      <w:r w:rsidR="00A51EA7" w:rsidRPr="004F5E49">
        <w:rPr>
          <w:rFonts w:ascii="Perpetua" w:hAnsi="Perpetua"/>
        </w:rPr>
        <w:t>all’inizio del 2014 erano</w:t>
      </w:r>
      <w:r w:rsidR="000D17D6" w:rsidRPr="004F5E49">
        <w:rPr>
          <w:rFonts w:ascii="Perpetua" w:hAnsi="Perpetua"/>
        </w:rPr>
        <w:t xml:space="preserve"> 37.598 unità contro i 40.326 dell’anno precedente. </w:t>
      </w:r>
      <w:r w:rsidR="00A26759" w:rsidRPr="004F5E49">
        <w:rPr>
          <w:rFonts w:ascii="Perpetua" w:hAnsi="Perpetua"/>
        </w:rPr>
        <w:t>Insomma, s</w:t>
      </w:r>
      <w:r w:rsidR="009B1E7F" w:rsidRPr="004F5E49">
        <w:rPr>
          <w:rFonts w:ascii="Perpetua" w:hAnsi="Perpetua"/>
        </w:rPr>
        <w:t>i è tornati al dato assoluto di tre anni fa</w:t>
      </w:r>
      <w:r w:rsidR="00A26759" w:rsidRPr="004F5E49">
        <w:rPr>
          <w:rFonts w:ascii="Perpetua" w:hAnsi="Perpetua"/>
        </w:rPr>
        <w:t xml:space="preserve"> (anno 2010), quando il</w:t>
      </w:r>
      <w:r w:rsidR="009B1E7F" w:rsidRPr="004F5E49">
        <w:rPr>
          <w:rFonts w:ascii="Perpetua" w:hAnsi="Perpetua"/>
        </w:rPr>
        <w:t xml:space="preserve"> numero dei residenti stranieri </w:t>
      </w:r>
      <w:r w:rsidR="00A26759" w:rsidRPr="004F5E49">
        <w:rPr>
          <w:rFonts w:ascii="Perpetua" w:hAnsi="Perpetua"/>
        </w:rPr>
        <w:t>era leggermente superiore all’attuale.</w:t>
      </w:r>
      <w:r w:rsidR="008D2C38" w:rsidRPr="004F5E49">
        <w:rPr>
          <w:rFonts w:ascii="Perpetua" w:hAnsi="Perpetua"/>
        </w:rPr>
        <w:t xml:space="preserve"> Corrispondentemente, anche il dato di incidenza è diminuito: oggi i cittadini stranieri sono il 10,8% della popolazione complessivamente residente sul territorio provinciale.</w:t>
      </w:r>
    </w:p>
    <w:p w:rsidR="009178C1" w:rsidRPr="004F5E49" w:rsidRDefault="00860790" w:rsidP="008D2C38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Il segno negativo non è tuttavia giunto inaspettato. </w:t>
      </w:r>
      <w:r w:rsidR="00A51EA7" w:rsidRPr="004F5E49">
        <w:rPr>
          <w:rFonts w:ascii="Perpetua" w:hAnsi="Perpetua"/>
        </w:rPr>
        <w:t>Dall’anno in cui è deflagrata la crisi economica e sociale globale (</w:t>
      </w:r>
      <w:r w:rsidR="00A26759" w:rsidRPr="004F5E49">
        <w:rPr>
          <w:rFonts w:ascii="Perpetua" w:hAnsi="Perpetua"/>
        </w:rPr>
        <w:t xml:space="preserve">il </w:t>
      </w:r>
      <w:r w:rsidR="00A51EA7" w:rsidRPr="004F5E49">
        <w:rPr>
          <w:rFonts w:ascii="Perpetua" w:hAnsi="Perpetua"/>
        </w:rPr>
        <w:t>2008), i flussi in entrata di cittadini stranieri si sono progressivamente rid</w:t>
      </w:r>
      <w:r w:rsidRPr="004F5E49">
        <w:rPr>
          <w:rFonts w:ascii="Perpetua" w:hAnsi="Perpetua"/>
        </w:rPr>
        <w:t>imensionati</w:t>
      </w:r>
      <w:r w:rsidR="00A51EA7" w:rsidRPr="004F5E49">
        <w:rPr>
          <w:rFonts w:ascii="Perpetua" w:hAnsi="Perpetua"/>
        </w:rPr>
        <w:t xml:space="preserve"> </w:t>
      </w:r>
      <w:r w:rsidR="00A26759" w:rsidRPr="004F5E49">
        <w:rPr>
          <w:rFonts w:ascii="Perpetua" w:hAnsi="Perpetua"/>
        </w:rPr>
        <w:t>ogni</w:t>
      </w:r>
      <w:r w:rsidR="00A51EA7" w:rsidRPr="004F5E49">
        <w:rPr>
          <w:rFonts w:ascii="Perpetua" w:hAnsi="Perpetua"/>
        </w:rPr>
        <w:t xml:space="preserve"> anno (vedi tab. 1</w:t>
      </w:r>
      <w:r w:rsidR="0089068C" w:rsidRPr="004F5E49">
        <w:rPr>
          <w:rFonts w:ascii="Perpetua" w:hAnsi="Perpetua"/>
        </w:rPr>
        <w:t xml:space="preserve"> e </w:t>
      </w:r>
      <w:proofErr w:type="spellStart"/>
      <w:r w:rsidR="0089068C" w:rsidRPr="004F5E49">
        <w:rPr>
          <w:rFonts w:ascii="Perpetua" w:hAnsi="Perpetua"/>
        </w:rPr>
        <w:t>graf</w:t>
      </w:r>
      <w:proofErr w:type="spellEnd"/>
      <w:r w:rsidR="0089068C" w:rsidRPr="004F5E49">
        <w:rPr>
          <w:rFonts w:ascii="Perpetua" w:hAnsi="Perpetua"/>
        </w:rPr>
        <w:t>. 1</w:t>
      </w:r>
      <w:r w:rsidR="00A51EA7" w:rsidRPr="004F5E49">
        <w:rPr>
          <w:rFonts w:ascii="Perpetua" w:hAnsi="Perpetua"/>
        </w:rPr>
        <w:t>)</w:t>
      </w:r>
      <w:r w:rsidR="0098638F" w:rsidRPr="004F5E49">
        <w:rPr>
          <w:rFonts w:ascii="Perpetua" w:hAnsi="Perpetua"/>
        </w:rPr>
        <w:t>,</w:t>
      </w:r>
      <w:r w:rsidR="00A51EA7" w:rsidRPr="004F5E49">
        <w:rPr>
          <w:rFonts w:ascii="Perpetua" w:hAnsi="Perpetua"/>
        </w:rPr>
        <w:t xml:space="preserve"> fino ad arrestarsi</w:t>
      </w:r>
      <w:r w:rsidRPr="004F5E49">
        <w:rPr>
          <w:rFonts w:ascii="Perpetua" w:hAnsi="Perpetua"/>
        </w:rPr>
        <w:t xml:space="preserve"> nel 2012</w:t>
      </w:r>
      <w:r w:rsidR="00A51EA7" w:rsidRPr="004F5E49">
        <w:rPr>
          <w:rFonts w:ascii="Perpetua" w:hAnsi="Perpetua"/>
        </w:rPr>
        <w:t xml:space="preserve">: si consideri, difatti, che negli ultimi anni gli incrementi di tale presenza </w:t>
      </w:r>
      <w:r w:rsidR="0098638F" w:rsidRPr="004F5E49">
        <w:rPr>
          <w:rFonts w:ascii="Perpetua" w:hAnsi="Perpetua"/>
        </w:rPr>
        <w:t>sono stati</w:t>
      </w:r>
      <w:r w:rsidR="00A51EA7" w:rsidRPr="004F5E49">
        <w:rPr>
          <w:rFonts w:ascii="Perpetua" w:hAnsi="Perpetua"/>
        </w:rPr>
        <w:t xml:space="preserve"> sostanzialmente </w:t>
      </w:r>
      <w:r w:rsidR="00A26759" w:rsidRPr="004F5E49">
        <w:rPr>
          <w:rFonts w:ascii="Perpetua" w:hAnsi="Perpetua"/>
        </w:rPr>
        <w:t>alimentati</w:t>
      </w:r>
      <w:r w:rsidR="00A51EA7" w:rsidRPr="004F5E49">
        <w:rPr>
          <w:rFonts w:ascii="Perpetua" w:hAnsi="Perpetua"/>
        </w:rPr>
        <w:t xml:space="preserve"> da</w:t>
      </w:r>
      <w:r w:rsidR="00A26759" w:rsidRPr="004F5E49">
        <w:rPr>
          <w:rFonts w:ascii="Perpetua" w:hAnsi="Perpetua"/>
        </w:rPr>
        <w:t>lle nuove nascite da nuclei familiari stranieri (le G2)</w:t>
      </w:r>
      <w:r w:rsidR="00A51EA7" w:rsidRPr="004F5E49">
        <w:rPr>
          <w:rFonts w:ascii="Perpetua" w:hAnsi="Perpetua"/>
        </w:rPr>
        <w:t>. Nel 2013, le nascite</w:t>
      </w:r>
      <w:r w:rsidR="0089068C" w:rsidRPr="004F5E49">
        <w:rPr>
          <w:rFonts w:ascii="Perpetua" w:hAnsi="Perpetua"/>
        </w:rPr>
        <w:t xml:space="preserve"> da coniugi stranieri residenti</w:t>
      </w:r>
      <w:r w:rsidR="00A51EA7" w:rsidRPr="004F5E49">
        <w:rPr>
          <w:rFonts w:ascii="Perpetua" w:hAnsi="Perpetua"/>
        </w:rPr>
        <w:t>, pur consistenti</w:t>
      </w:r>
      <w:r w:rsidR="00A26759" w:rsidRPr="004F5E49">
        <w:rPr>
          <w:rFonts w:ascii="Perpetua" w:hAnsi="Perpetua"/>
        </w:rPr>
        <w:t xml:space="preserve"> (vedi più avanti)</w:t>
      </w:r>
      <w:r w:rsidR="00A51EA7" w:rsidRPr="004F5E49">
        <w:rPr>
          <w:rFonts w:ascii="Perpetua" w:hAnsi="Perpetua"/>
        </w:rPr>
        <w:t xml:space="preserve">, </w:t>
      </w:r>
      <w:r w:rsidR="00042451" w:rsidRPr="004F5E49">
        <w:rPr>
          <w:rFonts w:ascii="Perpetua" w:hAnsi="Perpetua"/>
        </w:rPr>
        <w:t xml:space="preserve">non </w:t>
      </w:r>
      <w:r w:rsidR="00A51EA7" w:rsidRPr="004F5E49">
        <w:rPr>
          <w:rFonts w:ascii="Perpetua" w:hAnsi="Perpetua"/>
        </w:rPr>
        <w:t>sono state sufficienti ad arginare il decremento</w:t>
      </w:r>
      <w:r w:rsidR="0089068C" w:rsidRPr="004F5E49">
        <w:rPr>
          <w:rFonts w:ascii="Perpetua" w:hAnsi="Perpetua"/>
        </w:rPr>
        <w:t xml:space="preserve"> </w:t>
      </w:r>
      <w:r w:rsidR="00042451" w:rsidRPr="004F5E49">
        <w:rPr>
          <w:rFonts w:ascii="Perpetua" w:hAnsi="Perpetua"/>
        </w:rPr>
        <w:t>diffuso, generato da nuovi</w:t>
      </w:r>
      <w:r w:rsidR="0089068C" w:rsidRPr="004F5E49">
        <w:rPr>
          <w:rFonts w:ascii="Perpetua" w:hAnsi="Perpetua"/>
        </w:rPr>
        <w:t xml:space="preserve"> flussi </w:t>
      </w:r>
      <w:r w:rsidR="00042451" w:rsidRPr="004F5E49">
        <w:rPr>
          <w:rFonts w:ascii="Perpetua" w:hAnsi="Perpetua"/>
        </w:rPr>
        <w:t>in uscita di</w:t>
      </w:r>
      <w:r w:rsidR="0089068C" w:rsidRPr="004F5E49">
        <w:rPr>
          <w:rFonts w:ascii="Perpetua" w:hAnsi="Perpetua"/>
        </w:rPr>
        <w:t xml:space="preserve"> individui e interi nuclei familiari</w:t>
      </w:r>
      <w:r w:rsidR="00A26759" w:rsidRPr="004F5E49">
        <w:rPr>
          <w:rFonts w:ascii="Perpetua" w:hAnsi="Perpetua"/>
        </w:rPr>
        <w:t>,</w:t>
      </w:r>
      <w:r w:rsidR="0089068C" w:rsidRPr="004F5E49">
        <w:rPr>
          <w:rFonts w:ascii="Perpetua" w:hAnsi="Perpetua"/>
        </w:rPr>
        <w:t xml:space="preserve"> </w:t>
      </w:r>
      <w:r w:rsidR="00042451" w:rsidRPr="004F5E49">
        <w:rPr>
          <w:rFonts w:ascii="Perpetua" w:hAnsi="Perpetua"/>
        </w:rPr>
        <w:t xml:space="preserve">sia </w:t>
      </w:r>
      <w:r w:rsidR="0089068C" w:rsidRPr="004F5E49">
        <w:rPr>
          <w:rFonts w:ascii="Perpetua" w:hAnsi="Perpetua"/>
        </w:rPr>
        <w:t>verso i</w:t>
      </w:r>
      <w:r w:rsidR="00042451" w:rsidRPr="004F5E49">
        <w:rPr>
          <w:rFonts w:ascii="Perpetua" w:hAnsi="Perpetua"/>
        </w:rPr>
        <w:t xml:space="preserve"> paesi</w:t>
      </w:r>
      <w:r w:rsidR="0089068C" w:rsidRPr="004F5E49">
        <w:rPr>
          <w:rFonts w:ascii="Perpetua" w:hAnsi="Perpetua"/>
        </w:rPr>
        <w:t xml:space="preserve"> di origine, </w:t>
      </w:r>
      <w:r w:rsidR="00042451" w:rsidRPr="004F5E49">
        <w:rPr>
          <w:rFonts w:ascii="Perpetua" w:hAnsi="Perpetua"/>
        </w:rPr>
        <w:t xml:space="preserve">sia verso </w:t>
      </w:r>
      <w:r w:rsidR="0089068C" w:rsidRPr="004F5E49">
        <w:rPr>
          <w:rFonts w:ascii="Perpetua" w:hAnsi="Perpetua"/>
        </w:rPr>
        <w:t>altre regioni italiane</w:t>
      </w:r>
      <w:r w:rsidR="00A26759" w:rsidRPr="004F5E49">
        <w:rPr>
          <w:rFonts w:ascii="Perpetua" w:hAnsi="Perpetua"/>
        </w:rPr>
        <w:t>,</w:t>
      </w:r>
      <w:r w:rsidR="00042451" w:rsidRPr="004F5E49">
        <w:rPr>
          <w:rFonts w:ascii="Perpetua" w:hAnsi="Perpetua"/>
        </w:rPr>
        <w:t xml:space="preserve"> sia infine verso</w:t>
      </w:r>
      <w:r w:rsidR="0089068C" w:rsidRPr="004F5E49">
        <w:rPr>
          <w:rFonts w:ascii="Perpetua" w:hAnsi="Perpetua"/>
        </w:rPr>
        <w:t xml:space="preserve"> paesi </w:t>
      </w:r>
      <w:r w:rsidR="00042451" w:rsidRPr="004F5E49">
        <w:rPr>
          <w:rFonts w:ascii="Perpetua" w:hAnsi="Perpetua"/>
        </w:rPr>
        <w:t xml:space="preserve">stranieri, soprattutto </w:t>
      </w:r>
      <w:r w:rsidR="0089068C" w:rsidRPr="004F5E49">
        <w:rPr>
          <w:rFonts w:ascii="Perpetua" w:hAnsi="Perpetua"/>
        </w:rPr>
        <w:t>europei.</w:t>
      </w:r>
      <w:r w:rsidR="00042451" w:rsidRPr="004F5E49">
        <w:rPr>
          <w:rFonts w:ascii="Perpetua" w:hAnsi="Perpetua"/>
        </w:rPr>
        <w:t xml:space="preserve"> A fronte di mutate condizioni economiche la risposta </w:t>
      </w:r>
      <w:r w:rsidR="00A26759" w:rsidRPr="004F5E49">
        <w:rPr>
          <w:rFonts w:ascii="Perpetua" w:hAnsi="Perpetua"/>
        </w:rPr>
        <w:t xml:space="preserve">da parte di alcuni migranti </w:t>
      </w:r>
      <w:r w:rsidR="00042451" w:rsidRPr="004F5E49">
        <w:rPr>
          <w:rFonts w:ascii="Perpetua" w:hAnsi="Perpetua"/>
        </w:rPr>
        <w:t>è stata</w:t>
      </w:r>
      <w:r w:rsidR="00A26759" w:rsidRPr="004F5E49">
        <w:rPr>
          <w:rFonts w:ascii="Perpetua" w:hAnsi="Perpetua"/>
        </w:rPr>
        <w:t xml:space="preserve"> una rinnovata</w:t>
      </w:r>
      <w:r w:rsidR="00042451" w:rsidRPr="004F5E49">
        <w:rPr>
          <w:rFonts w:ascii="Perpetua" w:hAnsi="Perpetua"/>
        </w:rPr>
        <w:t xml:space="preserve"> mobilità interna e internazionale.</w:t>
      </w:r>
    </w:p>
    <w:p w:rsidR="008D2C38" w:rsidRPr="004F5E49" w:rsidRDefault="008D2C38" w:rsidP="008D2C38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Queste cifre evidenziano una minore attrazione degli stranieri verso la nostra provincia, e più in generale, verso l’Italia: l’afflusso sempre costante (seppur in rallentamento) di giovani immigrati che in Italia cercano un’opportunità di vita e di lavoro sembra essersi così </w:t>
      </w:r>
      <w:r w:rsidR="000357E0" w:rsidRPr="004F5E49">
        <w:rPr>
          <w:rFonts w:ascii="Perpetua" w:hAnsi="Perpetua"/>
        </w:rPr>
        <w:t xml:space="preserve">(temporaneamente) </w:t>
      </w:r>
      <w:r w:rsidRPr="004F5E49">
        <w:rPr>
          <w:rFonts w:ascii="Perpetua" w:hAnsi="Perpetua"/>
        </w:rPr>
        <w:t>arrestato.</w:t>
      </w:r>
    </w:p>
    <w:p w:rsidR="008D2C38" w:rsidRPr="004F5E49" w:rsidRDefault="008D2C38">
      <w:pPr>
        <w:rPr>
          <w:rFonts w:ascii="Perpetua" w:hAnsi="Perpetua"/>
        </w:rPr>
      </w:pPr>
    </w:p>
    <w:p w:rsidR="009178C1" w:rsidRPr="004F5E49" w:rsidRDefault="0089068C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>Tab. 1</w:t>
      </w:r>
      <w:r w:rsidR="009B1E7F" w:rsidRPr="004F5E49">
        <w:rPr>
          <w:rFonts w:ascii="Perpetua" w:hAnsi="Perpetua"/>
          <w:sz w:val="20"/>
          <w:szCs w:val="20"/>
        </w:rPr>
        <w:t xml:space="preserve"> – </w:t>
      </w:r>
      <w:r w:rsidRPr="004F5E49">
        <w:rPr>
          <w:rFonts w:ascii="Perpetua" w:hAnsi="Perpetua"/>
          <w:sz w:val="20"/>
          <w:szCs w:val="20"/>
        </w:rPr>
        <w:t>S</w:t>
      </w:r>
      <w:r w:rsidR="000D17D6" w:rsidRPr="004F5E49">
        <w:rPr>
          <w:rFonts w:ascii="Perpetua" w:hAnsi="Perpetua"/>
          <w:sz w:val="20"/>
          <w:szCs w:val="20"/>
        </w:rPr>
        <w:t>tranieri residenti in provincia di Arezzo</w:t>
      </w:r>
      <w:r w:rsidR="006A38DC" w:rsidRPr="004F5E49">
        <w:rPr>
          <w:rFonts w:ascii="Perpetua" w:hAnsi="Perpetua"/>
          <w:sz w:val="20"/>
          <w:szCs w:val="20"/>
        </w:rPr>
        <w:t>. Serie storica ultimi 10 anni</w:t>
      </w:r>
    </w:p>
    <w:tbl>
      <w:tblPr>
        <w:tblW w:w="68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260"/>
        <w:gridCol w:w="1660"/>
        <w:gridCol w:w="1960"/>
        <w:gridCol w:w="1960"/>
      </w:tblGrid>
      <w:tr w:rsidR="0089068C" w:rsidRPr="004F5E49" w:rsidTr="0089068C"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Anno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Stranieri residenti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Incrementi % annuali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Incidenza %</w:t>
            </w: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17.322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29.278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35.516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37.691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60790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10,2</w:t>
            </w: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39.480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60790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10,8</w:t>
            </w: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40.326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60790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11,5</w:t>
            </w:r>
          </w:p>
        </w:tc>
      </w:tr>
      <w:tr w:rsidR="0089068C" w:rsidRPr="004F5E49" w:rsidTr="0089068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37.598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68C" w:rsidRPr="004F5E49" w:rsidRDefault="0089068C" w:rsidP="009178C1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10,8</w:t>
            </w:r>
          </w:p>
        </w:tc>
      </w:tr>
    </w:tbl>
    <w:p w:rsidR="009178C1" w:rsidRPr="004F5E49" w:rsidRDefault="009178C1">
      <w:pPr>
        <w:rPr>
          <w:rFonts w:ascii="Perpetua" w:hAnsi="Perpetua"/>
        </w:rPr>
      </w:pPr>
    </w:p>
    <w:p w:rsidR="0089068C" w:rsidRPr="004F5E49" w:rsidRDefault="0089068C" w:rsidP="0089068C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>Graf. 1</w:t>
      </w:r>
      <w:r w:rsidR="00B05B72" w:rsidRPr="004F5E49">
        <w:rPr>
          <w:rFonts w:ascii="Perpetua" w:hAnsi="Perpetua"/>
          <w:sz w:val="20"/>
          <w:szCs w:val="20"/>
        </w:rPr>
        <w:t xml:space="preserve"> </w:t>
      </w:r>
      <w:r w:rsidR="009B1E7F" w:rsidRPr="004F5E49">
        <w:rPr>
          <w:rFonts w:ascii="Perpetua" w:hAnsi="Perpetua"/>
          <w:sz w:val="20"/>
          <w:szCs w:val="20"/>
        </w:rPr>
        <w:t xml:space="preserve">– </w:t>
      </w:r>
      <w:r w:rsidRPr="004F5E49">
        <w:rPr>
          <w:rFonts w:ascii="Perpetua" w:hAnsi="Perpetua"/>
          <w:sz w:val="20"/>
          <w:szCs w:val="20"/>
        </w:rPr>
        <w:t>Tredici anni di immigrazione in provincia di Arezzo</w:t>
      </w:r>
    </w:p>
    <w:p w:rsidR="0089068C" w:rsidRPr="004F5E49" w:rsidRDefault="0089068C" w:rsidP="0089068C">
      <w:pPr>
        <w:rPr>
          <w:rFonts w:ascii="Perpetua" w:hAnsi="Perpetua"/>
        </w:rPr>
      </w:pPr>
      <w:r w:rsidRPr="004F5E49">
        <w:rPr>
          <w:rFonts w:ascii="Perpetua" w:hAnsi="Perpetua"/>
          <w:noProof/>
        </w:rPr>
        <w:drawing>
          <wp:inline distT="0" distB="0" distL="0" distR="0">
            <wp:extent cx="5910903" cy="2804615"/>
            <wp:effectExtent l="0" t="0" r="0" b="0"/>
            <wp:docPr id="8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57E0" w:rsidRDefault="000357E0" w:rsidP="0089068C">
      <w:pPr>
        <w:rPr>
          <w:rFonts w:ascii="Perpetua" w:hAnsi="Perpetua"/>
        </w:rPr>
      </w:pPr>
    </w:p>
    <w:p w:rsidR="001015E7" w:rsidRDefault="001015E7" w:rsidP="0089068C">
      <w:pPr>
        <w:rPr>
          <w:rFonts w:ascii="Perpetua" w:hAnsi="Perpetua"/>
        </w:rPr>
      </w:pPr>
    </w:p>
    <w:p w:rsidR="001015E7" w:rsidRDefault="001015E7" w:rsidP="0089068C">
      <w:pPr>
        <w:rPr>
          <w:rFonts w:ascii="Perpetua" w:hAnsi="Perpetua"/>
        </w:rPr>
      </w:pPr>
    </w:p>
    <w:p w:rsidR="00027613" w:rsidRPr="004F5E49" w:rsidRDefault="00027613">
      <w:pPr>
        <w:rPr>
          <w:rFonts w:ascii="Perpetua" w:hAnsi="Perpetua"/>
          <w:b/>
          <w:i/>
        </w:rPr>
      </w:pPr>
    </w:p>
    <w:p w:rsidR="0089068C" w:rsidRPr="004F5E49" w:rsidRDefault="00027613">
      <w:pPr>
        <w:rPr>
          <w:rFonts w:ascii="Perpetua" w:hAnsi="Perpetua"/>
          <w:b/>
        </w:rPr>
      </w:pPr>
      <w:r w:rsidRPr="004F5E49">
        <w:rPr>
          <w:rFonts w:ascii="Perpetua" w:hAnsi="Perpetua"/>
          <w:b/>
        </w:rPr>
        <w:t xml:space="preserve">2. </w:t>
      </w:r>
      <w:r w:rsidR="00B05B72" w:rsidRPr="004F5E49">
        <w:rPr>
          <w:rFonts w:ascii="Perpetua" w:hAnsi="Perpetua"/>
          <w:b/>
        </w:rPr>
        <w:t>La d</w:t>
      </w:r>
      <w:r w:rsidR="0089068C" w:rsidRPr="004F5E49">
        <w:rPr>
          <w:rFonts w:ascii="Perpetua" w:hAnsi="Perpetua"/>
          <w:b/>
        </w:rPr>
        <w:t>istribuzione territoriale</w:t>
      </w:r>
      <w:r w:rsidR="00B05B72" w:rsidRPr="004F5E49">
        <w:rPr>
          <w:rFonts w:ascii="Perpetua" w:hAnsi="Perpetua"/>
          <w:b/>
        </w:rPr>
        <w:t>: conferme e novità</w:t>
      </w:r>
    </w:p>
    <w:p w:rsidR="00027613" w:rsidRPr="004F5E49" w:rsidRDefault="00027613" w:rsidP="0089068C">
      <w:pPr>
        <w:jc w:val="both"/>
        <w:rPr>
          <w:rFonts w:ascii="Perpetua" w:hAnsi="Perpetua"/>
        </w:rPr>
      </w:pPr>
    </w:p>
    <w:p w:rsidR="00996AAC" w:rsidRPr="004F5E49" w:rsidRDefault="0089068C" w:rsidP="0089068C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>La popolazione straniera si distribuisce tra i comuni della provincia di Arezzo in maniera sempre più simi</w:t>
      </w:r>
      <w:r w:rsidR="006C0701" w:rsidRPr="004F5E49">
        <w:rPr>
          <w:rFonts w:ascii="Perpetua" w:hAnsi="Perpetua"/>
        </w:rPr>
        <w:t>le alla popolazione complessiva</w:t>
      </w:r>
      <w:r w:rsidRPr="004F5E49">
        <w:rPr>
          <w:rFonts w:ascii="Perpetua" w:hAnsi="Perpetua"/>
        </w:rPr>
        <w:t>: maggior</w:t>
      </w:r>
      <w:r w:rsidR="006A38DC" w:rsidRPr="004F5E49">
        <w:rPr>
          <w:rFonts w:ascii="Perpetua" w:hAnsi="Perpetua"/>
        </w:rPr>
        <w:t>e</w:t>
      </w:r>
      <w:r w:rsidRPr="004F5E49">
        <w:rPr>
          <w:rFonts w:ascii="Perpetua" w:hAnsi="Perpetua"/>
        </w:rPr>
        <w:t xml:space="preserve"> incidenza percentuale nei comuni più grandi del territorio, ma anche in alcuni comuni montani come </w:t>
      </w:r>
      <w:proofErr w:type="spellStart"/>
      <w:r w:rsidR="00996AAC" w:rsidRPr="004F5E49">
        <w:rPr>
          <w:rFonts w:ascii="Perpetua" w:hAnsi="Perpetua"/>
        </w:rPr>
        <w:t>Pratovecchio</w:t>
      </w:r>
      <w:proofErr w:type="spellEnd"/>
      <w:r w:rsidR="00996AAC" w:rsidRPr="004F5E49">
        <w:rPr>
          <w:rFonts w:ascii="Perpetua" w:hAnsi="Perpetua"/>
        </w:rPr>
        <w:t>, Poppi</w:t>
      </w:r>
      <w:r w:rsidR="00A26759" w:rsidRPr="004F5E49">
        <w:rPr>
          <w:rFonts w:ascii="Perpetua" w:hAnsi="Perpetua"/>
        </w:rPr>
        <w:t xml:space="preserve"> </w:t>
      </w:r>
      <w:r w:rsidR="00996AAC" w:rsidRPr="004F5E49">
        <w:rPr>
          <w:rFonts w:ascii="Perpetua" w:hAnsi="Perpetua"/>
        </w:rPr>
        <w:t xml:space="preserve">e Stia (dall’11,5% al 13%). </w:t>
      </w:r>
      <w:r w:rsidRPr="004F5E49">
        <w:rPr>
          <w:rFonts w:ascii="Perpetua" w:hAnsi="Perpetua"/>
        </w:rPr>
        <w:t xml:space="preserve">Tre sono i comuni con un’incidenza </w:t>
      </w:r>
      <w:r w:rsidR="006C0701" w:rsidRPr="004F5E49">
        <w:rPr>
          <w:rFonts w:ascii="Perpetua" w:hAnsi="Perpetua"/>
        </w:rPr>
        <w:t>superiore al</w:t>
      </w:r>
      <w:r w:rsidRPr="004F5E49">
        <w:rPr>
          <w:rFonts w:ascii="Perpetua" w:hAnsi="Perpetua"/>
        </w:rPr>
        <w:t xml:space="preserve"> 15%: </w:t>
      </w:r>
      <w:proofErr w:type="spellStart"/>
      <w:r w:rsidRPr="004F5E49">
        <w:rPr>
          <w:rFonts w:ascii="Perpetua" w:hAnsi="Perpetua"/>
        </w:rPr>
        <w:t>Bibbiena</w:t>
      </w:r>
      <w:proofErr w:type="spellEnd"/>
      <w:r w:rsidRPr="004F5E49">
        <w:rPr>
          <w:rFonts w:ascii="Perpetua" w:hAnsi="Perpetua"/>
        </w:rPr>
        <w:t>, Foia</w:t>
      </w:r>
      <w:r w:rsidR="00996AAC" w:rsidRPr="004F5E49">
        <w:rPr>
          <w:rFonts w:ascii="Perpetua" w:hAnsi="Perpetua"/>
        </w:rPr>
        <w:t>no della Chiana e Montevarchi. La città di Arezzo, benché sia la più popolata da cittadini stranieri</w:t>
      </w:r>
      <w:r w:rsidR="009F02E4" w:rsidRPr="004F5E49">
        <w:rPr>
          <w:rFonts w:ascii="Perpetua" w:hAnsi="Perpetua"/>
        </w:rPr>
        <w:t xml:space="preserve"> (la zona aretina concentra il 38,5% di tutti gli stranieri)</w:t>
      </w:r>
      <w:r w:rsidR="00A26759" w:rsidRPr="004F5E49">
        <w:rPr>
          <w:rFonts w:ascii="Perpetua" w:hAnsi="Perpetua"/>
        </w:rPr>
        <w:t>, ha un’</w:t>
      </w:r>
      <w:r w:rsidR="00996AAC" w:rsidRPr="004F5E49">
        <w:rPr>
          <w:rFonts w:ascii="Perpetua" w:hAnsi="Perpetua"/>
        </w:rPr>
        <w:t>incidenza dell’11,8% sulla popolazione complessiva residente</w:t>
      </w:r>
      <w:r w:rsidR="0041604B" w:rsidRPr="004F5E49">
        <w:rPr>
          <w:rFonts w:ascii="Perpetua" w:hAnsi="Perpetua"/>
        </w:rPr>
        <w:t xml:space="preserve"> (vedi tab. 2)</w:t>
      </w:r>
      <w:r w:rsidR="00996AAC" w:rsidRPr="004F5E49">
        <w:rPr>
          <w:rFonts w:ascii="Perpetua" w:hAnsi="Perpetua"/>
        </w:rPr>
        <w:t>.</w:t>
      </w:r>
    </w:p>
    <w:p w:rsidR="009F02E4" w:rsidRPr="004F5E49" w:rsidRDefault="0089068C" w:rsidP="00996AAC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>L’incidenza della popolazione immigrata sul totale della popo</w:t>
      </w:r>
      <w:r w:rsidR="00017888" w:rsidRPr="004F5E49">
        <w:rPr>
          <w:rFonts w:ascii="Perpetua" w:hAnsi="Perpetua"/>
        </w:rPr>
        <w:t>lazione residente varia tra le cinque</w:t>
      </w:r>
      <w:r w:rsidRPr="004F5E49">
        <w:rPr>
          <w:rFonts w:ascii="Perpetua" w:hAnsi="Perpetua"/>
        </w:rPr>
        <w:t xml:space="preserve"> zone socio sanitari</w:t>
      </w:r>
      <w:r w:rsidR="008D2C38" w:rsidRPr="004F5E49">
        <w:rPr>
          <w:rFonts w:ascii="Perpetua" w:hAnsi="Perpetua"/>
        </w:rPr>
        <w:t>e. I</w:t>
      </w:r>
      <w:r w:rsidRPr="004F5E49">
        <w:rPr>
          <w:rFonts w:ascii="Perpetua" w:hAnsi="Perpetua"/>
        </w:rPr>
        <w:t>l Casentino</w:t>
      </w:r>
      <w:r w:rsidR="000357E0" w:rsidRPr="004F5E49">
        <w:rPr>
          <w:rFonts w:ascii="Perpetua" w:hAnsi="Perpetua"/>
        </w:rPr>
        <w:t xml:space="preserve"> da molti anni</w:t>
      </w:r>
      <w:r w:rsidRPr="004F5E49">
        <w:rPr>
          <w:rFonts w:ascii="Perpetua" w:hAnsi="Perpetua"/>
        </w:rPr>
        <w:t xml:space="preserve"> s</w:t>
      </w:r>
      <w:r w:rsidR="008D2C38" w:rsidRPr="004F5E49">
        <w:rPr>
          <w:rFonts w:ascii="Perpetua" w:hAnsi="Perpetua"/>
        </w:rPr>
        <w:t xml:space="preserve">i conferma la </w:t>
      </w:r>
      <w:r w:rsidRPr="004F5E49">
        <w:rPr>
          <w:rFonts w:ascii="Perpetua" w:hAnsi="Perpetua"/>
        </w:rPr>
        <w:t xml:space="preserve">vallata </w:t>
      </w:r>
      <w:r w:rsidR="008D2C38" w:rsidRPr="004F5E49">
        <w:rPr>
          <w:rFonts w:ascii="Perpetua" w:hAnsi="Perpetua"/>
        </w:rPr>
        <w:t>con la</w:t>
      </w:r>
      <w:r w:rsidRPr="004F5E49">
        <w:rPr>
          <w:rFonts w:ascii="Perpetua" w:hAnsi="Perpetua"/>
        </w:rPr>
        <w:t xml:space="preserve"> </w:t>
      </w:r>
      <w:r w:rsidR="00996AAC" w:rsidRPr="004F5E49">
        <w:rPr>
          <w:rFonts w:ascii="Perpetua" w:hAnsi="Perpetua"/>
        </w:rPr>
        <w:t>maggiore concentrazione</w:t>
      </w:r>
      <w:r w:rsidR="008D2C38" w:rsidRPr="004F5E49">
        <w:rPr>
          <w:rFonts w:ascii="Perpetua" w:hAnsi="Perpetua"/>
        </w:rPr>
        <w:t xml:space="preserve"> di cittadini non italiani</w:t>
      </w:r>
      <w:r w:rsidR="00996AAC" w:rsidRPr="004F5E49">
        <w:rPr>
          <w:rFonts w:ascii="Perpetua" w:hAnsi="Perpetua"/>
        </w:rPr>
        <w:t xml:space="preserve">, </w:t>
      </w:r>
      <w:r w:rsidR="008D2C38" w:rsidRPr="004F5E49">
        <w:rPr>
          <w:rFonts w:ascii="Perpetua" w:hAnsi="Perpetua"/>
        </w:rPr>
        <w:t>pari al</w:t>
      </w:r>
      <w:r w:rsidR="00996AAC" w:rsidRPr="004F5E49">
        <w:rPr>
          <w:rFonts w:ascii="Perpetua" w:hAnsi="Perpetua"/>
        </w:rPr>
        <w:t xml:space="preserve"> 12,3</w:t>
      </w:r>
      <w:r w:rsidRPr="004F5E49">
        <w:rPr>
          <w:rFonts w:ascii="Perpetua" w:hAnsi="Perpetua"/>
        </w:rPr>
        <w:t xml:space="preserve">%, </w:t>
      </w:r>
      <w:r w:rsidR="008D2C38" w:rsidRPr="004F5E49">
        <w:rPr>
          <w:rFonts w:ascii="Perpetua" w:hAnsi="Perpetua"/>
        </w:rPr>
        <w:t xml:space="preserve">una </w:t>
      </w:r>
      <w:r w:rsidRPr="004F5E49">
        <w:rPr>
          <w:rFonts w:ascii="Perpetua" w:hAnsi="Perpetua"/>
        </w:rPr>
        <w:t>percentuale molto alta se si considera la media nazionale</w:t>
      </w:r>
      <w:r w:rsidR="009F02E4" w:rsidRPr="004F5E49">
        <w:rPr>
          <w:rFonts w:ascii="Perpetua" w:hAnsi="Perpetua"/>
        </w:rPr>
        <w:t xml:space="preserve"> (8,1%)</w:t>
      </w:r>
      <w:r w:rsidR="008D2C38" w:rsidRPr="004F5E49">
        <w:rPr>
          <w:rFonts w:ascii="Perpetua" w:hAnsi="Perpetua"/>
        </w:rPr>
        <w:t xml:space="preserve"> e quella provinciale (10,8%)</w:t>
      </w:r>
      <w:r w:rsidRPr="004F5E49">
        <w:rPr>
          <w:rFonts w:ascii="Perpetua" w:hAnsi="Perpetua"/>
        </w:rPr>
        <w:t>. Se</w:t>
      </w:r>
      <w:r w:rsidR="00996AAC" w:rsidRPr="004F5E49">
        <w:rPr>
          <w:rFonts w:ascii="Perpetua" w:hAnsi="Perpetua"/>
        </w:rPr>
        <w:t>guono con un valore pari al 11,4</w:t>
      </w:r>
      <w:r w:rsidR="009F02E4" w:rsidRPr="004F5E49">
        <w:rPr>
          <w:rFonts w:ascii="Perpetua" w:hAnsi="Perpetua"/>
        </w:rPr>
        <w:t xml:space="preserve">% </w:t>
      </w:r>
      <w:r w:rsidRPr="004F5E49">
        <w:rPr>
          <w:rFonts w:ascii="Perpetua" w:hAnsi="Perpetua"/>
        </w:rPr>
        <w:t xml:space="preserve">la </w:t>
      </w:r>
      <w:proofErr w:type="spellStart"/>
      <w:r w:rsidRPr="004F5E49">
        <w:rPr>
          <w:rFonts w:ascii="Perpetua" w:hAnsi="Perpetua"/>
        </w:rPr>
        <w:t>Valdichiana</w:t>
      </w:r>
      <w:proofErr w:type="spellEnd"/>
      <w:r w:rsidR="009F02E4" w:rsidRPr="004F5E49">
        <w:rPr>
          <w:rFonts w:ascii="Perpetua" w:hAnsi="Perpetua"/>
        </w:rPr>
        <w:t xml:space="preserve">, l’11,0% </w:t>
      </w:r>
      <w:r w:rsidR="00996AAC" w:rsidRPr="004F5E49">
        <w:rPr>
          <w:rFonts w:ascii="Perpetua" w:hAnsi="Perpetua"/>
        </w:rPr>
        <w:t>la zona Aretina,</w:t>
      </w:r>
      <w:r w:rsidR="009F02E4" w:rsidRPr="004F5E49">
        <w:rPr>
          <w:rFonts w:ascii="Perpetua" w:hAnsi="Perpetua"/>
        </w:rPr>
        <w:t xml:space="preserve"> </w:t>
      </w:r>
      <w:r w:rsidRPr="004F5E49">
        <w:rPr>
          <w:rFonts w:ascii="Perpetua" w:hAnsi="Perpetua"/>
        </w:rPr>
        <w:t xml:space="preserve">ed infine il Valdarno </w:t>
      </w:r>
      <w:r w:rsidR="00996AAC" w:rsidRPr="004F5E49">
        <w:rPr>
          <w:rFonts w:ascii="Perpetua" w:hAnsi="Perpetua"/>
        </w:rPr>
        <w:t xml:space="preserve">e la </w:t>
      </w:r>
      <w:proofErr w:type="spellStart"/>
      <w:r w:rsidRPr="004F5E49">
        <w:rPr>
          <w:rFonts w:ascii="Perpetua" w:hAnsi="Perpetua"/>
        </w:rPr>
        <w:t>Valtiberina</w:t>
      </w:r>
      <w:proofErr w:type="spellEnd"/>
      <w:r w:rsidRPr="004F5E49">
        <w:rPr>
          <w:rFonts w:ascii="Perpetua" w:hAnsi="Perpetua"/>
        </w:rPr>
        <w:t xml:space="preserve"> con il 10,</w:t>
      </w:r>
      <w:r w:rsidR="00996AAC" w:rsidRPr="004F5E49">
        <w:rPr>
          <w:rFonts w:ascii="Perpetua" w:hAnsi="Perpetua"/>
        </w:rPr>
        <w:t>0% circa</w:t>
      </w:r>
      <w:r w:rsidR="0041604B" w:rsidRPr="004F5E49">
        <w:rPr>
          <w:rFonts w:ascii="Perpetua" w:hAnsi="Perpetua"/>
        </w:rPr>
        <w:t xml:space="preserve"> (vedi tab. 3).</w:t>
      </w:r>
    </w:p>
    <w:p w:rsidR="0089068C" w:rsidRPr="004F5E49" w:rsidRDefault="00996AAC" w:rsidP="00996AAC">
      <w:pPr>
        <w:jc w:val="both"/>
        <w:rPr>
          <w:rFonts w:ascii="Perpetua" w:hAnsi="Perpetua"/>
          <w:bCs/>
          <w:iCs/>
        </w:rPr>
      </w:pPr>
      <w:r w:rsidRPr="004F5E49">
        <w:rPr>
          <w:rFonts w:ascii="Perpetua" w:hAnsi="Perpetua"/>
        </w:rPr>
        <w:t xml:space="preserve">Rispetto allo scorso anno, il calo della presenza </w:t>
      </w:r>
      <w:r w:rsidR="009F02E4" w:rsidRPr="004F5E49">
        <w:rPr>
          <w:rFonts w:ascii="Perpetua" w:hAnsi="Perpetua"/>
        </w:rPr>
        <w:t>risulta</w:t>
      </w:r>
      <w:r w:rsidRPr="004F5E49">
        <w:rPr>
          <w:rFonts w:ascii="Perpetua" w:hAnsi="Perpetua"/>
        </w:rPr>
        <w:t xml:space="preserve"> generalizzato </w:t>
      </w:r>
      <w:r w:rsidR="009F02E4" w:rsidRPr="004F5E49">
        <w:rPr>
          <w:rFonts w:ascii="Perpetua" w:hAnsi="Perpetua"/>
        </w:rPr>
        <w:t>per</w:t>
      </w:r>
      <w:r w:rsidRPr="004F5E49">
        <w:rPr>
          <w:rFonts w:ascii="Perpetua" w:hAnsi="Perpetua"/>
        </w:rPr>
        <w:t xml:space="preserve"> tutte le vallate</w:t>
      </w:r>
      <w:r w:rsidR="0027451F" w:rsidRPr="004F5E49">
        <w:rPr>
          <w:rFonts w:ascii="Perpetua" w:hAnsi="Perpetua"/>
        </w:rPr>
        <w:t xml:space="preserve">: si va dal decremento più vistoso nella zona aretina (-10%) a quello di minore entità nella </w:t>
      </w:r>
      <w:proofErr w:type="spellStart"/>
      <w:r w:rsidR="0027451F" w:rsidRPr="004F5E49">
        <w:rPr>
          <w:rFonts w:ascii="Perpetua" w:hAnsi="Perpetua"/>
        </w:rPr>
        <w:t>Valtiberina</w:t>
      </w:r>
      <w:proofErr w:type="spellEnd"/>
      <w:r w:rsidR="0027451F" w:rsidRPr="004F5E49">
        <w:rPr>
          <w:rFonts w:ascii="Perpetua" w:hAnsi="Perpetua"/>
        </w:rPr>
        <w:t xml:space="preserve"> (-2%)</w:t>
      </w:r>
      <w:r w:rsidR="009F02E4" w:rsidRPr="004F5E49">
        <w:rPr>
          <w:rFonts w:ascii="Perpetua" w:hAnsi="Perpetua"/>
        </w:rPr>
        <w:t>.</w:t>
      </w:r>
      <w:r w:rsidRPr="004F5E49">
        <w:rPr>
          <w:rFonts w:ascii="Perpetua" w:hAnsi="Perpetua"/>
        </w:rPr>
        <w:t xml:space="preserve"> </w:t>
      </w:r>
      <w:r w:rsidR="009F02E4" w:rsidRPr="004F5E49">
        <w:rPr>
          <w:rFonts w:ascii="Perpetua" w:hAnsi="Perpetua"/>
        </w:rPr>
        <w:t>Decrementi si registrano un po’ ovunque,</w:t>
      </w:r>
      <w:r w:rsidRPr="004F5E49">
        <w:rPr>
          <w:rFonts w:ascii="Perpetua" w:hAnsi="Perpetua"/>
        </w:rPr>
        <w:t xml:space="preserve"> tranne pochissime eccezioni (</w:t>
      </w:r>
      <w:proofErr w:type="spellStart"/>
      <w:r w:rsidRPr="004F5E49">
        <w:rPr>
          <w:rFonts w:ascii="Perpetua" w:hAnsi="Perpetua"/>
        </w:rPr>
        <w:t>Pratovecchio</w:t>
      </w:r>
      <w:proofErr w:type="spellEnd"/>
      <w:r w:rsidRPr="004F5E49">
        <w:rPr>
          <w:rFonts w:ascii="Perpetua" w:hAnsi="Perpetua"/>
        </w:rPr>
        <w:t xml:space="preserve"> e P.S. Stefano</w:t>
      </w:r>
      <w:r w:rsidR="009F02E4" w:rsidRPr="004F5E49">
        <w:rPr>
          <w:rFonts w:ascii="Perpetua" w:hAnsi="Perpetua"/>
        </w:rPr>
        <w:t>, ad esempio): particolarmente i</w:t>
      </w:r>
      <w:r w:rsidR="00456279" w:rsidRPr="004F5E49">
        <w:rPr>
          <w:rFonts w:ascii="Perpetua" w:hAnsi="Perpetua"/>
        </w:rPr>
        <w:t>nteressati dal calo di presenze sono</w:t>
      </w:r>
      <w:r w:rsidR="009F02E4" w:rsidRPr="004F5E49">
        <w:rPr>
          <w:rFonts w:ascii="Perpetua" w:hAnsi="Perpetua"/>
        </w:rPr>
        <w:t xml:space="preserve"> i comuni che negli ultimi anni </w:t>
      </w:r>
      <w:r w:rsidR="00456279" w:rsidRPr="004F5E49">
        <w:rPr>
          <w:rFonts w:ascii="Perpetua" w:hAnsi="Perpetua"/>
        </w:rPr>
        <w:t>hanno</w:t>
      </w:r>
      <w:r w:rsidR="009F02E4" w:rsidRPr="004F5E49">
        <w:rPr>
          <w:rFonts w:ascii="Perpetua" w:hAnsi="Perpetua"/>
        </w:rPr>
        <w:t xml:space="preserve"> </w:t>
      </w:r>
      <w:r w:rsidR="00456279" w:rsidRPr="004F5E49">
        <w:rPr>
          <w:rFonts w:ascii="Perpetua" w:hAnsi="Perpetua"/>
        </w:rPr>
        <w:t>segnato gli incrementi più vistosi e rapidi del</w:t>
      </w:r>
      <w:r w:rsidR="009F02E4" w:rsidRPr="004F5E49">
        <w:rPr>
          <w:rFonts w:ascii="Perpetua" w:hAnsi="Perpetua"/>
        </w:rPr>
        <w:t xml:space="preserve"> numero dei residenti stranieri. </w:t>
      </w:r>
    </w:p>
    <w:p w:rsidR="00E270AE" w:rsidRPr="004F5E49" w:rsidRDefault="00E270AE">
      <w:pPr>
        <w:rPr>
          <w:rFonts w:ascii="Perpetua" w:hAnsi="Perpetua"/>
        </w:rPr>
      </w:pPr>
    </w:p>
    <w:p w:rsidR="00310DF9" w:rsidRPr="004F5E49" w:rsidRDefault="00310DF9" w:rsidP="00310DF9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 xml:space="preserve">Tab. </w:t>
      </w:r>
      <w:r w:rsidR="0041604B" w:rsidRPr="004F5E49">
        <w:rPr>
          <w:rFonts w:ascii="Perpetua" w:hAnsi="Perpetua"/>
          <w:sz w:val="20"/>
          <w:szCs w:val="20"/>
        </w:rPr>
        <w:t>2</w:t>
      </w:r>
      <w:r w:rsidR="00B05B72" w:rsidRPr="004F5E49">
        <w:rPr>
          <w:rFonts w:ascii="Perpetua" w:hAnsi="Perpetua"/>
          <w:sz w:val="20"/>
          <w:szCs w:val="20"/>
        </w:rPr>
        <w:t xml:space="preserve"> </w:t>
      </w:r>
      <w:r w:rsidR="009B1E7F" w:rsidRPr="004F5E49">
        <w:rPr>
          <w:rFonts w:ascii="Perpetua" w:hAnsi="Perpetua"/>
          <w:sz w:val="20"/>
          <w:szCs w:val="20"/>
        </w:rPr>
        <w:t xml:space="preserve">– </w:t>
      </w:r>
      <w:r w:rsidRPr="004F5E49">
        <w:rPr>
          <w:rFonts w:ascii="Perpetua" w:hAnsi="Perpetua"/>
          <w:sz w:val="20"/>
          <w:szCs w:val="20"/>
        </w:rPr>
        <w:t>Comuni della provincia di Arezzo  con la più alta incidenza di residenti stranieri all’1/1/2014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59"/>
        <w:gridCol w:w="1754"/>
        <w:gridCol w:w="1739"/>
        <w:gridCol w:w="1813"/>
        <w:gridCol w:w="1813"/>
      </w:tblGrid>
      <w:tr w:rsidR="001E16F9" w:rsidRPr="004F5E49" w:rsidTr="00310DF9">
        <w:trPr>
          <w:trHeight w:val="345"/>
        </w:trPr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310D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C</w:t>
            </w:r>
            <w:r w:rsidR="00310DF9" w:rsidRPr="004F5E49">
              <w:rPr>
                <w:rFonts w:ascii="Perpetua" w:hAnsi="Perpetua"/>
                <w:bCs/>
                <w:sz w:val="18"/>
                <w:szCs w:val="18"/>
              </w:rPr>
              <w:t>omuni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01" w:rsidRPr="004F5E49" w:rsidRDefault="001E16F9" w:rsidP="001E16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 xml:space="preserve">Stranieri </w:t>
            </w:r>
          </w:p>
          <w:p w:rsidR="001E16F9" w:rsidRPr="004F5E49" w:rsidRDefault="001E16F9" w:rsidP="001E16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residenti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01" w:rsidRPr="004F5E49" w:rsidRDefault="001E16F9" w:rsidP="001E16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 xml:space="preserve">Totale </w:t>
            </w:r>
          </w:p>
          <w:p w:rsidR="001E16F9" w:rsidRPr="004F5E49" w:rsidRDefault="001E16F9" w:rsidP="001E16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popolazione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% Stranieri su residenti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701" w:rsidRPr="004F5E49" w:rsidRDefault="001E16F9" w:rsidP="001E16F9">
            <w:pPr>
              <w:jc w:val="center"/>
              <w:rPr>
                <w:rFonts w:ascii="Perpetua" w:hAnsi="Perpetua"/>
                <w:iCs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iCs/>
                <w:sz w:val="18"/>
                <w:szCs w:val="18"/>
              </w:rPr>
              <w:t>Incr</w:t>
            </w:r>
            <w:proofErr w:type="spellEnd"/>
            <w:r w:rsidR="006C0701" w:rsidRPr="004F5E49">
              <w:rPr>
                <w:rFonts w:ascii="Perpetua" w:hAnsi="Perpetua"/>
                <w:iCs/>
                <w:sz w:val="18"/>
                <w:szCs w:val="18"/>
              </w:rPr>
              <w:t>.</w:t>
            </w:r>
            <w:r w:rsidRPr="004F5E49">
              <w:rPr>
                <w:rFonts w:ascii="Perpetua" w:hAnsi="Perpetua"/>
                <w:iCs/>
                <w:sz w:val="18"/>
                <w:szCs w:val="18"/>
              </w:rPr>
              <w:t xml:space="preserve"> % </w:t>
            </w:r>
          </w:p>
          <w:p w:rsidR="001E16F9" w:rsidRPr="004F5E49" w:rsidRDefault="001E16F9" w:rsidP="006C0701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iCs/>
                <w:sz w:val="18"/>
                <w:szCs w:val="18"/>
              </w:rPr>
              <w:t>2012/2013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Bibbiena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1.991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12.512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15,9%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-8,4%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Montevarchi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3.824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24.502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15,6%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-3,3%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6C0701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Foiano d</w:t>
            </w:r>
            <w:r w:rsidR="001E16F9" w:rsidRPr="004F5E49">
              <w:rPr>
                <w:rFonts w:ascii="Perpetua" w:hAnsi="Perpetua"/>
                <w:sz w:val="18"/>
                <w:szCs w:val="18"/>
              </w:rPr>
              <w:t>ella Chiana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1.471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9.552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15,4%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-8,2%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Pratovecchio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3.092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12,9%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8,4%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Arezzo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11.674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99.232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11,8%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-11,2%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S. Giovanni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V.no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2.015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17.159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11,7%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-5,7%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Poppi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6.265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11,6%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-7,0%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Castiglion</w:t>
            </w:r>
            <w:proofErr w:type="spellEnd"/>
            <w:r w:rsidRPr="004F5E49">
              <w:rPr>
                <w:rFonts w:ascii="Perpetua" w:hAnsi="Perpetua"/>
                <w:sz w:val="18"/>
                <w:szCs w:val="18"/>
              </w:rPr>
              <w:t xml:space="preserve"> Fiorentino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1.544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13.386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11,5%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-8,9%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Stia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2.856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11,5%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-2,7%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Sansepolcro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1.814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16.109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11,3%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-1,0%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Castiglion</w:t>
            </w:r>
            <w:proofErr w:type="spellEnd"/>
            <w:r w:rsidRPr="004F5E49">
              <w:rPr>
                <w:rFonts w:ascii="Perpetua" w:hAnsi="Perpetua"/>
                <w:sz w:val="18"/>
                <w:szCs w:val="18"/>
              </w:rPr>
              <w:t xml:space="preserve">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Fibocchi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2.244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11,2%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-8,1%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9F02E4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P.</w:t>
            </w:r>
            <w:r w:rsidR="001E16F9" w:rsidRPr="004F5E49">
              <w:rPr>
                <w:rFonts w:ascii="Perpetua" w:hAnsi="Perpetua"/>
                <w:sz w:val="18"/>
                <w:szCs w:val="18"/>
              </w:rPr>
              <w:t>S. Stefano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3.184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10,9%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4,2%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Cortona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2.426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22.607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10,7%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-2,9%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Chitignano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904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10,5%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-14,4%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Sestino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1.401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10,3%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-8,2%</w:t>
            </w:r>
          </w:p>
        </w:tc>
      </w:tr>
      <w:tr w:rsidR="001E16F9" w:rsidRPr="004F5E49" w:rsidTr="00310DF9">
        <w:trPr>
          <w:trHeight w:val="255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Talla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1.109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10,0%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-17,2%</w:t>
            </w:r>
          </w:p>
        </w:tc>
      </w:tr>
      <w:tr w:rsidR="001E16F9" w:rsidRPr="004F5E49" w:rsidTr="00310DF9">
        <w:trPr>
          <w:trHeight w:val="270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C.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Focognano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3.224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6F9" w:rsidRPr="004F5E49" w:rsidRDefault="001E16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9,8%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16F9" w:rsidRPr="004F5E49" w:rsidRDefault="00310DF9" w:rsidP="001E16F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-8,1%</w:t>
            </w:r>
          </w:p>
        </w:tc>
      </w:tr>
    </w:tbl>
    <w:p w:rsidR="007809A3" w:rsidRPr="004F5E49" w:rsidRDefault="007809A3">
      <w:pPr>
        <w:rPr>
          <w:rFonts w:ascii="Perpetua" w:hAnsi="Perpetua"/>
        </w:rPr>
      </w:pPr>
    </w:p>
    <w:p w:rsidR="006C0701" w:rsidRPr="004F5E49" w:rsidRDefault="0041604B" w:rsidP="006C0701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>Tab. 3</w:t>
      </w:r>
      <w:r w:rsidR="00B05B72" w:rsidRPr="004F5E49">
        <w:rPr>
          <w:rFonts w:ascii="Perpetua" w:hAnsi="Perpetua"/>
          <w:sz w:val="20"/>
          <w:szCs w:val="20"/>
        </w:rPr>
        <w:t xml:space="preserve"> </w:t>
      </w:r>
      <w:r w:rsidR="009B1E7F" w:rsidRPr="004F5E49">
        <w:rPr>
          <w:rFonts w:ascii="Perpetua" w:hAnsi="Perpetua"/>
          <w:sz w:val="20"/>
          <w:szCs w:val="20"/>
        </w:rPr>
        <w:t xml:space="preserve">– </w:t>
      </w:r>
      <w:r w:rsidR="006C0701" w:rsidRPr="004F5E49">
        <w:rPr>
          <w:rFonts w:ascii="Perpetua" w:hAnsi="Perpetua"/>
          <w:sz w:val="20"/>
          <w:szCs w:val="20"/>
        </w:rPr>
        <w:t>Distribuzione zonale</w:t>
      </w:r>
      <w:r w:rsidR="009F02E4" w:rsidRPr="004F5E49">
        <w:rPr>
          <w:rFonts w:ascii="Perpetua" w:hAnsi="Perpetua"/>
          <w:sz w:val="20"/>
          <w:szCs w:val="20"/>
        </w:rPr>
        <w:t xml:space="preserve"> residenti stranieri. Percentuali di presenza, incidenza e decremento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9"/>
        <w:gridCol w:w="1267"/>
        <w:gridCol w:w="1408"/>
        <w:gridCol w:w="1091"/>
        <w:gridCol w:w="1091"/>
        <w:gridCol w:w="1232"/>
        <w:gridCol w:w="1230"/>
      </w:tblGrid>
      <w:tr w:rsidR="00B05B72" w:rsidRPr="004F5E49" w:rsidTr="000D613C">
        <w:trPr>
          <w:trHeight w:val="480"/>
        </w:trPr>
        <w:tc>
          <w:tcPr>
            <w:tcW w:w="1257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Zone</w:t>
            </w:r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 xml:space="preserve">Stranieri residenti (v.a.) 2012 </w:t>
            </w:r>
          </w:p>
        </w:tc>
        <w:tc>
          <w:tcPr>
            <w:tcW w:w="720" w:type="pct"/>
            <w:shd w:val="clear" w:color="auto" w:fill="auto"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Stranieri residenti (v.a.) 2013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Totale popolazione</w:t>
            </w:r>
          </w:p>
          <w:p w:rsidR="00B05B72" w:rsidRPr="004F5E49" w:rsidRDefault="00B05B72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2013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Stranieri residenti % (2013)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Incidenza % 2013</w:t>
            </w:r>
          </w:p>
        </w:tc>
        <w:tc>
          <w:tcPr>
            <w:tcW w:w="629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Decremento % 2012-2013</w:t>
            </w:r>
          </w:p>
        </w:tc>
      </w:tr>
      <w:tr w:rsidR="00B05B72" w:rsidRPr="004F5E49" w:rsidTr="000D613C">
        <w:trPr>
          <w:trHeight w:val="255"/>
        </w:trPr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B05B72" w:rsidRPr="004F5E49" w:rsidRDefault="00B05B72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Casentino</w:t>
            </w:r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4.752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4.472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36.219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11,9%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12,3%</w:t>
            </w:r>
          </w:p>
        </w:tc>
        <w:tc>
          <w:tcPr>
            <w:tcW w:w="629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-5,9%</w:t>
            </w:r>
          </w:p>
        </w:tc>
      </w:tr>
      <w:tr w:rsidR="00B05B72" w:rsidRPr="004F5E49" w:rsidTr="000D613C">
        <w:trPr>
          <w:trHeight w:val="255"/>
        </w:trPr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B05B72" w:rsidRPr="004F5E49" w:rsidRDefault="00B05B72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Valdarno</w:t>
            </w:r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9.940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9.610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95.971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25,6%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10,0%</w:t>
            </w:r>
          </w:p>
        </w:tc>
        <w:tc>
          <w:tcPr>
            <w:tcW w:w="629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-3,3%</w:t>
            </w:r>
          </w:p>
        </w:tc>
      </w:tr>
      <w:tr w:rsidR="00B05B72" w:rsidRPr="004F5E49" w:rsidTr="000D613C">
        <w:trPr>
          <w:trHeight w:val="255"/>
        </w:trPr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B05B72" w:rsidRPr="004F5E49" w:rsidRDefault="00B05B72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Valdichiana</w:t>
            </w:r>
            <w:proofErr w:type="spellEnd"/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6.443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5.984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52.638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15,9%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11,4%</w:t>
            </w:r>
          </w:p>
        </w:tc>
        <w:tc>
          <w:tcPr>
            <w:tcW w:w="629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-7,1%</w:t>
            </w:r>
          </w:p>
        </w:tc>
      </w:tr>
      <w:tr w:rsidR="00B05B72" w:rsidRPr="004F5E49" w:rsidTr="000D613C">
        <w:trPr>
          <w:trHeight w:val="255"/>
        </w:trPr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B05B72" w:rsidRPr="004F5E49" w:rsidRDefault="00B05B72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Valtiberina</w:t>
            </w:r>
            <w:proofErr w:type="spellEnd"/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3.113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3.051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30.676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8,1%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9,9%</w:t>
            </w:r>
          </w:p>
        </w:tc>
        <w:tc>
          <w:tcPr>
            <w:tcW w:w="629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-2,0%</w:t>
            </w:r>
          </w:p>
        </w:tc>
      </w:tr>
      <w:tr w:rsidR="00B05B72" w:rsidRPr="004F5E49" w:rsidTr="000D613C">
        <w:trPr>
          <w:trHeight w:val="255"/>
        </w:trPr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B05B72" w:rsidRPr="004F5E49" w:rsidRDefault="00B05B72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Aretina</w:t>
            </w:r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16.078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14.481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131.157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38,5%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11,0%</w:t>
            </w:r>
          </w:p>
        </w:tc>
        <w:tc>
          <w:tcPr>
            <w:tcW w:w="629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-9,9%</w:t>
            </w:r>
          </w:p>
        </w:tc>
      </w:tr>
      <w:tr w:rsidR="00B05B72" w:rsidRPr="004F5E49" w:rsidTr="000D613C">
        <w:trPr>
          <w:trHeight w:val="270"/>
        </w:trPr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B05B72" w:rsidRPr="004F5E49" w:rsidRDefault="00B05B72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Provincia di Arezzo</w:t>
            </w:r>
          </w:p>
        </w:tc>
        <w:tc>
          <w:tcPr>
            <w:tcW w:w="648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40.326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37.598</w:t>
            </w:r>
          </w:p>
        </w:tc>
        <w:tc>
          <w:tcPr>
            <w:tcW w:w="558" w:type="pct"/>
            <w:vAlign w:val="bottom"/>
          </w:tcPr>
          <w:p w:rsidR="00B05B72" w:rsidRPr="004F5E49" w:rsidRDefault="00B05B72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346.661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100,0%</w:t>
            </w:r>
          </w:p>
        </w:tc>
        <w:tc>
          <w:tcPr>
            <w:tcW w:w="630" w:type="pct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10,8%</w:t>
            </w:r>
          </w:p>
        </w:tc>
        <w:tc>
          <w:tcPr>
            <w:tcW w:w="629" w:type="pct"/>
            <w:vAlign w:val="bottom"/>
          </w:tcPr>
          <w:p w:rsidR="00B05B72" w:rsidRPr="004F5E49" w:rsidRDefault="00B05B72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-6,8%</w:t>
            </w:r>
          </w:p>
        </w:tc>
      </w:tr>
    </w:tbl>
    <w:p w:rsidR="006C0701" w:rsidRDefault="006C0701" w:rsidP="006C0701">
      <w:pPr>
        <w:rPr>
          <w:rFonts w:ascii="Perpetua" w:hAnsi="Perpetua"/>
        </w:rPr>
      </w:pPr>
    </w:p>
    <w:p w:rsidR="001015E7" w:rsidRDefault="001015E7" w:rsidP="006C0701">
      <w:pPr>
        <w:rPr>
          <w:rFonts w:ascii="Perpetua" w:hAnsi="Perpetua"/>
        </w:rPr>
      </w:pPr>
    </w:p>
    <w:p w:rsidR="001015E7" w:rsidRDefault="001015E7" w:rsidP="006C0701">
      <w:pPr>
        <w:rPr>
          <w:rFonts w:ascii="Perpetua" w:hAnsi="Perpetua"/>
        </w:rPr>
      </w:pPr>
    </w:p>
    <w:p w:rsidR="007809A3" w:rsidRPr="004F5E49" w:rsidRDefault="00027613">
      <w:pPr>
        <w:rPr>
          <w:rFonts w:ascii="Perpetua" w:hAnsi="Perpetua"/>
          <w:b/>
        </w:rPr>
      </w:pPr>
      <w:r w:rsidRPr="004F5E49">
        <w:rPr>
          <w:rFonts w:ascii="Perpetua" w:hAnsi="Perpetua"/>
          <w:b/>
        </w:rPr>
        <w:t xml:space="preserve">3. </w:t>
      </w:r>
      <w:r w:rsidR="00951635" w:rsidRPr="004F5E49">
        <w:rPr>
          <w:rFonts w:ascii="Perpetua" w:hAnsi="Perpetua"/>
          <w:b/>
        </w:rPr>
        <w:t>Le donne avanti</w:t>
      </w:r>
    </w:p>
    <w:p w:rsidR="00027613" w:rsidRPr="004F5E49" w:rsidRDefault="00027613" w:rsidP="00951635">
      <w:pPr>
        <w:jc w:val="both"/>
        <w:rPr>
          <w:rFonts w:ascii="Perpetua" w:hAnsi="Perpetua"/>
        </w:rPr>
      </w:pPr>
    </w:p>
    <w:p w:rsidR="00951635" w:rsidRPr="004F5E49" w:rsidRDefault="00951635" w:rsidP="00951635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Prosegue anche in provincia di Arezzo la crescente femminilizzazione della popolazione straniera. Nel nostro territorio gli uomini e le donne rappresentano rispettivamente il 46,2% (17.379 uomini) e il 53,8% </w:t>
      </w:r>
      <w:r w:rsidR="00456279" w:rsidRPr="004F5E49">
        <w:rPr>
          <w:rFonts w:ascii="Perpetua" w:hAnsi="Perpetua"/>
        </w:rPr>
        <w:t xml:space="preserve">(20.119 donne). Questo dato non rappresenta </w:t>
      </w:r>
      <w:r w:rsidRPr="004F5E49">
        <w:rPr>
          <w:rFonts w:ascii="Perpetua" w:hAnsi="Perpetua"/>
        </w:rPr>
        <w:t xml:space="preserve">una sorpresa: da quando nel 2006 si </w:t>
      </w:r>
      <w:r w:rsidR="00456279" w:rsidRPr="004F5E49">
        <w:rPr>
          <w:rFonts w:ascii="Perpetua" w:hAnsi="Perpetua"/>
        </w:rPr>
        <w:t>è prodotto</w:t>
      </w:r>
      <w:r w:rsidRPr="004F5E49">
        <w:rPr>
          <w:rFonts w:ascii="Perpetua" w:hAnsi="Perpetua"/>
        </w:rPr>
        <w:t xml:space="preserve"> un </w:t>
      </w:r>
      <w:r w:rsidR="00456279" w:rsidRPr="004F5E49">
        <w:rPr>
          <w:rFonts w:ascii="Perpetua" w:hAnsi="Perpetua"/>
        </w:rPr>
        <w:t xml:space="preserve">sostanziale </w:t>
      </w:r>
      <w:r w:rsidRPr="004F5E49">
        <w:rPr>
          <w:rFonts w:ascii="Perpetua" w:hAnsi="Perpetua"/>
        </w:rPr>
        <w:t>allineamento tra la componente maschile</w:t>
      </w:r>
      <w:r w:rsidR="00456279" w:rsidRPr="004F5E49">
        <w:rPr>
          <w:rFonts w:ascii="Perpetua" w:hAnsi="Perpetua"/>
        </w:rPr>
        <w:t xml:space="preserve"> dell’immigrazione</w:t>
      </w:r>
      <w:r w:rsidRPr="004F5E49">
        <w:rPr>
          <w:rFonts w:ascii="Perpetua" w:hAnsi="Perpetua"/>
        </w:rPr>
        <w:t>, da sempre maggioritaria, e q</w:t>
      </w:r>
      <w:r w:rsidR="00456279" w:rsidRPr="004F5E49">
        <w:rPr>
          <w:rFonts w:ascii="Perpetua" w:hAnsi="Perpetua"/>
        </w:rPr>
        <w:t>uella femminile,</w:t>
      </w:r>
      <w:r w:rsidRPr="004F5E49">
        <w:rPr>
          <w:rFonts w:ascii="Perpetua" w:hAnsi="Perpetua"/>
        </w:rPr>
        <w:t xml:space="preserve"> quest’ultima è sempre stata avanti, aumentando progressivamente </w:t>
      </w:r>
      <w:r w:rsidR="00456279" w:rsidRPr="004F5E49">
        <w:rPr>
          <w:rFonts w:ascii="Perpetua" w:hAnsi="Perpetua"/>
        </w:rPr>
        <w:t>il primato ogni anno</w:t>
      </w:r>
      <w:r w:rsidRPr="004F5E49">
        <w:rPr>
          <w:rFonts w:ascii="Perpetua" w:hAnsi="Perpetua"/>
        </w:rPr>
        <w:t xml:space="preserve">, seppure </w:t>
      </w:r>
      <w:r w:rsidR="00456279" w:rsidRPr="004F5E49">
        <w:rPr>
          <w:rFonts w:ascii="Perpetua" w:hAnsi="Perpetua"/>
        </w:rPr>
        <w:t>con</w:t>
      </w:r>
      <w:r w:rsidRPr="004F5E49">
        <w:rPr>
          <w:rFonts w:ascii="Perpetua" w:hAnsi="Perpetua"/>
        </w:rPr>
        <w:t xml:space="preserve"> piccole frazioni percentuali.</w:t>
      </w:r>
    </w:p>
    <w:p w:rsidR="009178C1" w:rsidRPr="004F3206" w:rsidRDefault="009178C1" w:rsidP="009178C1">
      <w:pPr>
        <w:rPr>
          <w:rFonts w:ascii="Perpetua" w:hAnsi="Perpetua"/>
        </w:rPr>
      </w:pPr>
    </w:p>
    <w:p w:rsidR="00C91CCB" w:rsidRPr="004F5E49" w:rsidRDefault="00B05B72" w:rsidP="009178C1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>Gra</w:t>
      </w:r>
      <w:r w:rsidR="009B1E7F" w:rsidRPr="004F5E49">
        <w:rPr>
          <w:rFonts w:ascii="Perpetua" w:hAnsi="Perpetua"/>
          <w:sz w:val="20"/>
          <w:szCs w:val="20"/>
        </w:rPr>
        <w:t>f. 2</w:t>
      </w:r>
      <w:r w:rsidRPr="004F5E49">
        <w:rPr>
          <w:rFonts w:ascii="Perpetua" w:hAnsi="Perpetua"/>
          <w:sz w:val="20"/>
          <w:szCs w:val="20"/>
        </w:rPr>
        <w:t xml:space="preserve"> – Componenti maschile e femminile della popolazione straniera residente</w:t>
      </w:r>
    </w:p>
    <w:p w:rsidR="001F41B2" w:rsidRPr="004F5E49" w:rsidRDefault="00B05B72" w:rsidP="009178C1">
      <w:pPr>
        <w:rPr>
          <w:rFonts w:ascii="Perpetua" w:hAnsi="Perpetua"/>
          <w:b/>
          <w:i/>
          <w:sz w:val="22"/>
          <w:szCs w:val="22"/>
        </w:rPr>
      </w:pPr>
      <w:r w:rsidRPr="004F5E49">
        <w:rPr>
          <w:rFonts w:ascii="Perpetua" w:hAnsi="Perpetua"/>
          <w:b/>
          <w:i/>
          <w:noProof/>
          <w:sz w:val="22"/>
          <w:szCs w:val="22"/>
        </w:rPr>
        <w:drawing>
          <wp:inline distT="0" distB="0" distL="0" distR="0">
            <wp:extent cx="4368706" cy="2545307"/>
            <wp:effectExtent l="19050" t="0" r="0" b="0"/>
            <wp:docPr id="9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B72" w:rsidRDefault="00B05B72" w:rsidP="009178C1">
      <w:pPr>
        <w:rPr>
          <w:rFonts w:ascii="Perpetua" w:hAnsi="Perpetua"/>
          <w:b/>
          <w:i/>
          <w:sz w:val="22"/>
          <w:szCs w:val="22"/>
        </w:rPr>
      </w:pPr>
    </w:p>
    <w:p w:rsidR="0012034E" w:rsidRPr="0012034E" w:rsidRDefault="0012034E" w:rsidP="0012034E">
      <w:pPr>
        <w:jc w:val="both"/>
        <w:rPr>
          <w:rFonts w:ascii="Perpetua" w:hAnsi="Perpetua"/>
          <w:sz w:val="22"/>
          <w:szCs w:val="22"/>
        </w:rPr>
      </w:pPr>
      <w:r w:rsidRPr="0012034E">
        <w:rPr>
          <w:rFonts w:ascii="Perpetua" w:hAnsi="Perpetua"/>
          <w:sz w:val="22"/>
          <w:szCs w:val="22"/>
        </w:rPr>
        <w:t>T</w:t>
      </w:r>
      <w:r>
        <w:rPr>
          <w:rFonts w:ascii="Perpetua" w:hAnsi="Perpetua"/>
          <w:sz w:val="22"/>
          <w:szCs w:val="22"/>
        </w:rPr>
        <w:t>ab. 4</w:t>
      </w:r>
      <w:r w:rsidRPr="0012034E">
        <w:rPr>
          <w:rFonts w:ascii="Perpetua" w:hAnsi="Perpetua"/>
          <w:sz w:val="22"/>
          <w:szCs w:val="22"/>
        </w:rPr>
        <w:t xml:space="preserve"> – La distribuzione di genere della popolazione straniera nelle zone relative alle 15 nazionalità maggiormente rappresentate all’1/1/2014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3"/>
        <w:gridCol w:w="709"/>
        <w:gridCol w:w="711"/>
        <w:gridCol w:w="793"/>
        <w:gridCol w:w="795"/>
        <w:gridCol w:w="785"/>
        <w:gridCol w:w="787"/>
        <w:gridCol w:w="680"/>
        <w:gridCol w:w="680"/>
        <w:gridCol w:w="687"/>
        <w:gridCol w:w="688"/>
        <w:gridCol w:w="575"/>
        <w:gridCol w:w="575"/>
      </w:tblGrid>
      <w:tr w:rsidR="0012034E" w:rsidRPr="0012034E" w:rsidTr="0012034E">
        <w:trPr>
          <w:trHeight w:val="255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Casentino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Valdarno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proofErr w:type="spellStart"/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Valdichiana</w:t>
            </w:r>
            <w:proofErr w:type="spellEnd"/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proofErr w:type="spellStart"/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Valtiberina</w:t>
            </w:r>
            <w:proofErr w:type="spellEnd"/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Aretina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Provincia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Nazionalità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M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M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Cs/>
                <w:i/>
                <w:sz w:val="18"/>
                <w:szCs w:val="18"/>
              </w:rPr>
            </w:pPr>
            <w:r w:rsidRPr="0012034E">
              <w:rPr>
                <w:rFonts w:ascii="Perpetua" w:hAnsi="Perpetua" w:cs="Arial"/>
                <w:bCs/>
                <w:i/>
                <w:sz w:val="18"/>
                <w:szCs w:val="18"/>
              </w:rPr>
              <w:t>F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Romania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53,5%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36,9%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63,1%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58,7%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31,9%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68,1%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60,0%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40,7%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59,3%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Albania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44,4%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55,6%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52,2%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47,8%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49,3%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54,0%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51,1%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48,9%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53,3%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46,7%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Marocco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51,2%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54,0%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46,9%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51,3%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47,8%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55,5%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44,5%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India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49,6%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50,4%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58,9%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52,6%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47,4%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57,6%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42,4%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40,5%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63,2%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36,8%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Bangladesh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53,9%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46,1%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60,7%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39,3%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60,0%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40,0%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61,4%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38,6%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40,5%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Pakistan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72,7%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27,3%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66,0%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34,0%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51,9%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72,0%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28,0%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65,6%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34,4%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29,9%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70,1%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Cina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48,0%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50,9%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49,1%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43,9%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49,4%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45,0%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68,3%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31,7%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Polonia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30,2%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69,8%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21,6%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78,4%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59,5%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31,9%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68,1%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21,8%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78,2%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48,0%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015E7">
            <w:pPr>
              <w:rPr>
                <w:rFonts w:ascii="Perpetua" w:hAnsi="Perpetua" w:cs="Arial"/>
                <w:sz w:val="18"/>
                <w:szCs w:val="18"/>
              </w:rPr>
            </w:pPr>
            <w:r>
              <w:rPr>
                <w:rFonts w:ascii="Perpetua" w:hAnsi="Perpetua" w:cs="Arial"/>
                <w:sz w:val="18"/>
                <w:szCs w:val="18"/>
              </w:rPr>
              <w:t>Kos</w:t>
            </w:r>
            <w:r w:rsidR="0012034E" w:rsidRPr="0012034E">
              <w:rPr>
                <w:rFonts w:ascii="Perpetua" w:hAnsi="Perpetua" w:cs="Arial"/>
                <w:sz w:val="18"/>
                <w:szCs w:val="18"/>
              </w:rPr>
              <w:t>ovo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43,8%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53,7%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55,1%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44,9%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50,0%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58,6%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41,4%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Macedonia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57,6%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42,4%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53,8%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46,2%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43,5%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60,9%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39,1%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47,4%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44,1%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55,9%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Filippine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33,3%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66,7%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50,0%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50,0%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58,3%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46,0%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54,0%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45,2%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54,8%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Ucraina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16,7%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83,3%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17,8%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82,2%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10,5%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89,5%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27,9%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72,1%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25,2%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74,8%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26,4%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73,6%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Dominicana Rep.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33,3%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66,7%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42,4%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57,6%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35,7%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64,3%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20,0%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80,0%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39,7%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60,3%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56,5%</w:t>
            </w:r>
          </w:p>
        </w:tc>
      </w:tr>
      <w:tr w:rsidR="0012034E" w:rsidRPr="0012034E" w:rsidTr="0012034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Germania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56,4%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43,1%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56,9%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42,4%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57,6%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59,0%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39,1%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60,9%</w:t>
            </w:r>
          </w:p>
        </w:tc>
      </w:tr>
      <w:tr w:rsidR="0012034E" w:rsidRPr="0012034E" w:rsidTr="0012034E">
        <w:trPr>
          <w:trHeight w:val="27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Regno Unito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47,4%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52,6%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32,9%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67,1%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41,7%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58,3%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48,8%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51,2%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40,6%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59,4%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58,5%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41,5%</w:t>
            </w:r>
          </w:p>
        </w:tc>
      </w:tr>
    </w:tbl>
    <w:p w:rsidR="0012034E" w:rsidRDefault="0012034E" w:rsidP="009178C1">
      <w:pPr>
        <w:rPr>
          <w:rFonts w:ascii="Perpetua" w:hAnsi="Perpetua"/>
          <w:b/>
          <w:i/>
          <w:sz w:val="22"/>
          <w:szCs w:val="22"/>
        </w:rPr>
      </w:pPr>
    </w:p>
    <w:p w:rsidR="004F5E49" w:rsidRDefault="004F5E49" w:rsidP="00505559">
      <w:pPr>
        <w:jc w:val="both"/>
        <w:rPr>
          <w:rFonts w:ascii="Perpetua" w:hAnsi="Perpetua"/>
          <w:b/>
        </w:rPr>
      </w:pPr>
    </w:p>
    <w:p w:rsidR="001F41B2" w:rsidRPr="004F5E49" w:rsidRDefault="004F3206" w:rsidP="00505559">
      <w:pPr>
        <w:jc w:val="both"/>
        <w:rPr>
          <w:rFonts w:ascii="Perpetua" w:hAnsi="Perpetua"/>
          <w:b/>
        </w:rPr>
      </w:pPr>
      <w:r>
        <w:rPr>
          <w:rFonts w:ascii="Perpetua" w:hAnsi="Perpetua"/>
          <w:b/>
        </w:rPr>
        <w:t>4</w:t>
      </w:r>
      <w:r w:rsidR="00027613" w:rsidRPr="004F5E49">
        <w:rPr>
          <w:rFonts w:ascii="Perpetua" w:hAnsi="Perpetua"/>
          <w:b/>
        </w:rPr>
        <w:t xml:space="preserve">. </w:t>
      </w:r>
      <w:r w:rsidR="00B05B72" w:rsidRPr="004F5E49">
        <w:rPr>
          <w:rFonts w:ascii="Perpetua" w:hAnsi="Perpetua"/>
          <w:b/>
        </w:rPr>
        <w:t>La popolazi</w:t>
      </w:r>
      <w:r w:rsidR="00E270AE" w:rsidRPr="004F5E49">
        <w:rPr>
          <w:rFonts w:ascii="Perpetua" w:hAnsi="Perpetua"/>
          <w:b/>
        </w:rPr>
        <w:t xml:space="preserve">one straniera è più giovane </w:t>
      </w:r>
      <w:proofErr w:type="spellStart"/>
      <w:r w:rsidR="00E270AE" w:rsidRPr="004F5E49">
        <w:rPr>
          <w:rFonts w:ascii="Perpetua" w:hAnsi="Perpetua"/>
          <w:b/>
        </w:rPr>
        <w:t>ma…</w:t>
      </w:r>
      <w:proofErr w:type="spellEnd"/>
    </w:p>
    <w:p w:rsidR="00027613" w:rsidRPr="004F5E49" w:rsidRDefault="00027613" w:rsidP="00505559">
      <w:pPr>
        <w:jc w:val="both"/>
        <w:rPr>
          <w:rFonts w:ascii="Perpetua" w:hAnsi="Perpetua"/>
        </w:rPr>
      </w:pPr>
    </w:p>
    <w:p w:rsidR="00456279" w:rsidRPr="004F5E49" w:rsidRDefault="00B05B72" w:rsidP="00505559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Si registra uno scarto di quasi 15 anni sull’età media tra autoctoni e stranieri: per i migranti è di 32,1 anni (un dato che dopo vari anni di crescita, si sta stabilizzando), mentre per gli italiani di 46,6 anni. </w:t>
      </w:r>
      <w:r w:rsidR="0098638F" w:rsidRPr="004F5E49">
        <w:rPr>
          <w:rFonts w:ascii="Perpetua" w:hAnsi="Perpetua"/>
        </w:rPr>
        <w:t>L</w:t>
      </w:r>
      <w:r w:rsidR="00E270AE" w:rsidRPr="004F5E49">
        <w:rPr>
          <w:rFonts w:ascii="Perpetua" w:hAnsi="Perpetua"/>
        </w:rPr>
        <w:t>a</w:t>
      </w:r>
      <w:r w:rsidR="0098638F" w:rsidRPr="004F5E49">
        <w:rPr>
          <w:rFonts w:ascii="Perpetua" w:hAnsi="Perpetua"/>
        </w:rPr>
        <w:t xml:space="preserve"> collettività straniera più giovane </w:t>
      </w:r>
      <w:r w:rsidR="00E270AE" w:rsidRPr="004F5E49">
        <w:rPr>
          <w:rFonts w:ascii="Perpetua" w:hAnsi="Perpetua"/>
        </w:rPr>
        <w:t xml:space="preserve">(con il più alto tasso di fertilità delle donne) </w:t>
      </w:r>
      <w:r w:rsidR="0098638F" w:rsidRPr="004F5E49">
        <w:rPr>
          <w:rFonts w:ascii="Perpetua" w:hAnsi="Perpetua"/>
        </w:rPr>
        <w:t>è la banglad</w:t>
      </w:r>
      <w:r w:rsidR="00E270AE" w:rsidRPr="004F5E49">
        <w:rPr>
          <w:rFonts w:ascii="Perpetua" w:hAnsi="Perpetua"/>
        </w:rPr>
        <w:t>ese con un’</w:t>
      </w:r>
      <w:r w:rsidR="0098638F" w:rsidRPr="004F5E49">
        <w:rPr>
          <w:rFonts w:ascii="Perpetua" w:hAnsi="Perpetua"/>
        </w:rPr>
        <w:t xml:space="preserve">età media di 25,4 </w:t>
      </w:r>
      <w:r w:rsidR="0098638F" w:rsidRPr="004F5E49">
        <w:rPr>
          <w:rFonts w:ascii="Perpetua" w:hAnsi="Perpetua"/>
        </w:rPr>
        <w:lastRenderedPageBreak/>
        <w:t xml:space="preserve">anni. </w:t>
      </w:r>
      <w:r w:rsidRPr="004F5E49">
        <w:rPr>
          <w:rFonts w:ascii="Perpetua" w:hAnsi="Perpetua"/>
        </w:rPr>
        <w:t xml:space="preserve">Tra gli italiani gli anziani ultrasettantenni sono il 19,5% contro l’1,8% degli stranieri; all’opposto i bambini sotto i 10 anni sono molto più numerosi in proporzione tra gli stranieri (13,2%) in </w:t>
      </w:r>
      <w:r w:rsidR="00456279" w:rsidRPr="004F5E49">
        <w:rPr>
          <w:rFonts w:ascii="Perpetua" w:hAnsi="Perpetua"/>
        </w:rPr>
        <w:t>confronto agli italiani (8,1%).</w:t>
      </w:r>
    </w:p>
    <w:p w:rsidR="004F5E49" w:rsidRPr="001015E7" w:rsidRDefault="00B05B72" w:rsidP="001015E7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Tra </w:t>
      </w:r>
      <w:r w:rsidR="00456279" w:rsidRPr="004F5E49">
        <w:rPr>
          <w:rFonts w:ascii="Perpetua" w:hAnsi="Perpetua"/>
        </w:rPr>
        <w:t>i cittadini</w:t>
      </w:r>
      <w:r w:rsidRPr="004F5E49">
        <w:rPr>
          <w:rFonts w:ascii="Perpetua" w:hAnsi="Perpetua"/>
        </w:rPr>
        <w:t xml:space="preserve"> stranieri la fascia d’età più rappresentata è quella </w:t>
      </w:r>
      <w:r w:rsidR="00456279" w:rsidRPr="004F5E49">
        <w:rPr>
          <w:rFonts w:ascii="Perpetua" w:hAnsi="Perpetua"/>
        </w:rPr>
        <w:t>dei</w:t>
      </w:r>
      <w:r w:rsidRPr="004F5E49">
        <w:rPr>
          <w:rFonts w:ascii="Perpetua" w:hAnsi="Perpetua"/>
        </w:rPr>
        <w:t xml:space="preserve"> 30-34</w:t>
      </w:r>
      <w:r w:rsidR="00456279" w:rsidRPr="004F5E49">
        <w:rPr>
          <w:rFonts w:ascii="Perpetua" w:hAnsi="Perpetua"/>
        </w:rPr>
        <w:t>enni</w:t>
      </w:r>
      <w:r w:rsidRPr="004F5E49">
        <w:rPr>
          <w:rFonts w:ascii="Perpetua" w:hAnsi="Perpetua"/>
        </w:rPr>
        <w:t xml:space="preserve"> mentre per gli italiani si attesta tra i 45-49 anni.</w:t>
      </w:r>
      <w:r w:rsidR="00E270AE" w:rsidRPr="004F5E49">
        <w:rPr>
          <w:rFonts w:ascii="Perpetua" w:hAnsi="Perpetua"/>
        </w:rPr>
        <w:t xml:space="preserve"> Con il passare degli anni, come già evidenziato dai Rapporti di questo Osservatorio, la curva di anzianità dei cittadini stranieri si sta progressivamente abbassando a vantaggio delle fasce d’età più alte. </w:t>
      </w:r>
      <w:r w:rsidR="001015E7">
        <w:rPr>
          <w:rFonts w:ascii="Perpetua" w:hAnsi="Perpetua"/>
        </w:rPr>
        <w:t>Difatti, se confrontiamo</w:t>
      </w:r>
      <w:r w:rsidR="004F5E49" w:rsidRPr="001015E7">
        <w:rPr>
          <w:rFonts w:ascii="Perpetua" w:hAnsi="Perpetua"/>
        </w:rPr>
        <w:t xml:space="preserve"> la struttura della popolazione in 4 annualità (1997-2007-2011-2013</w:t>
      </w:r>
      <w:r w:rsidR="001015E7">
        <w:rPr>
          <w:rFonts w:ascii="Perpetua" w:hAnsi="Perpetua"/>
        </w:rPr>
        <w:t>: vedi grafico 4</w:t>
      </w:r>
      <w:r w:rsidR="004F5E49" w:rsidRPr="001015E7">
        <w:rPr>
          <w:rFonts w:ascii="Perpetua" w:hAnsi="Perpetua"/>
        </w:rPr>
        <w:t>) si vede come le basi delle piramidi per classe di età siano incrementate e al contempo, continua lo spostamento della popolazione verso le età più adulte. La popolazione in età lavorativa non è in grado di compensare lo stabilizzarsi delle generazioni arrivate da più tempo, che tra l’altro contribuiscono all’evoluzione del numero delle nascite.</w:t>
      </w:r>
    </w:p>
    <w:p w:rsidR="001015E7" w:rsidRPr="004F5E49" w:rsidRDefault="001015E7" w:rsidP="009178C1">
      <w:pPr>
        <w:rPr>
          <w:rFonts w:ascii="Perpetua" w:hAnsi="Perpetua"/>
          <w:b/>
          <w:i/>
        </w:rPr>
      </w:pPr>
    </w:p>
    <w:p w:rsidR="001F41B2" w:rsidRPr="004F5E49" w:rsidRDefault="00B05B72" w:rsidP="009178C1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 xml:space="preserve">Graf. 3 </w:t>
      </w:r>
      <w:r w:rsidR="009B1E7F" w:rsidRPr="004F5E49">
        <w:rPr>
          <w:rFonts w:ascii="Perpetua" w:hAnsi="Perpetua"/>
          <w:sz w:val="20"/>
          <w:szCs w:val="20"/>
        </w:rPr>
        <w:t xml:space="preserve">– </w:t>
      </w:r>
      <w:r w:rsidR="00F57EB5" w:rsidRPr="004F5E49">
        <w:rPr>
          <w:rFonts w:ascii="Perpetua" w:hAnsi="Perpetua"/>
          <w:sz w:val="20"/>
          <w:szCs w:val="20"/>
        </w:rPr>
        <w:t>Distribuzione fasce di età: confronto italiani e stranieri</w:t>
      </w:r>
      <w:r w:rsidR="0098638F" w:rsidRPr="004F5E49">
        <w:rPr>
          <w:rFonts w:ascii="Perpetua" w:hAnsi="Perpetua"/>
          <w:sz w:val="20"/>
          <w:szCs w:val="20"/>
        </w:rPr>
        <w:t xml:space="preserve"> (1/1/2014)</w:t>
      </w:r>
    </w:p>
    <w:p w:rsidR="00C91CCB" w:rsidRPr="004F5E49" w:rsidRDefault="00C91CCB" w:rsidP="009178C1">
      <w:pPr>
        <w:rPr>
          <w:rFonts w:ascii="Perpetua" w:hAnsi="Perpetua"/>
          <w:b/>
          <w:i/>
          <w:sz w:val="22"/>
          <w:szCs w:val="22"/>
        </w:rPr>
      </w:pPr>
      <w:r w:rsidRPr="004F5E49">
        <w:rPr>
          <w:rFonts w:ascii="Perpetua" w:hAnsi="Perpetua"/>
          <w:b/>
          <w:i/>
          <w:noProof/>
          <w:sz w:val="22"/>
          <w:szCs w:val="22"/>
        </w:rPr>
        <w:drawing>
          <wp:inline distT="0" distB="0" distL="0" distR="0">
            <wp:extent cx="5984544" cy="2320119"/>
            <wp:effectExtent l="0" t="0" r="0" b="0"/>
            <wp:docPr id="7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1CCB" w:rsidRDefault="00C91CCB" w:rsidP="009178C1">
      <w:pPr>
        <w:rPr>
          <w:rFonts w:ascii="Perpetua" w:hAnsi="Perpetua"/>
          <w:sz w:val="22"/>
          <w:szCs w:val="22"/>
        </w:rPr>
      </w:pPr>
    </w:p>
    <w:p w:rsidR="001E16F9" w:rsidRPr="004F5E49" w:rsidRDefault="001015E7" w:rsidP="009178C1">
      <w:p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Tab. 5</w:t>
      </w:r>
      <w:r w:rsidR="001E16F9" w:rsidRPr="004F5E49">
        <w:rPr>
          <w:rFonts w:ascii="Perpetua" w:hAnsi="Perpetua"/>
          <w:sz w:val="20"/>
          <w:szCs w:val="20"/>
        </w:rPr>
        <w:t xml:space="preserve"> – Distribuzione fasce età</w:t>
      </w:r>
      <w:r w:rsidR="0098638F" w:rsidRPr="004F5E49">
        <w:rPr>
          <w:rFonts w:ascii="Perpetua" w:hAnsi="Perpetua"/>
          <w:sz w:val="20"/>
          <w:szCs w:val="20"/>
        </w:rPr>
        <w:t xml:space="preserve"> cittadini stranieri (1/1/2014)</w:t>
      </w:r>
    </w:p>
    <w:tbl>
      <w:tblPr>
        <w:tblStyle w:val="Grigliatabella"/>
        <w:tblW w:w="0" w:type="auto"/>
        <w:tblLook w:val="04A0"/>
      </w:tblPr>
      <w:tblGrid>
        <w:gridCol w:w="702"/>
        <w:gridCol w:w="702"/>
        <w:gridCol w:w="705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1E16F9" w:rsidRPr="004F5E49" w:rsidTr="001E16F9">
        <w:tc>
          <w:tcPr>
            <w:tcW w:w="702" w:type="dxa"/>
          </w:tcPr>
          <w:p w:rsidR="001E16F9" w:rsidRPr="004F5E49" w:rsidRDefault="001E16F9" w:rsidP="009178C1">
            <w:pPr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Fascia Età</w:t>
            </w:r>
          </w:p>
        </w:tc>
        <w:tc>
          <w:tcPr>
            <w:tcW w:w="702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0-4</w:t>
            </w:r>
          </w:p>
        </w:tc>
        <w:tc>
          <w:tcPr>
            <w:tcW w:w="705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5-9</w:t>
            </w:r>
          </w:p>
        </w:tc>
        <w:tc>
          <w:tcPr>
            <w:tcW w:w="705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10-14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15-19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20-24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25-29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30-34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35-39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40-44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45.49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50-54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55-69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Oltre 60</w:t>
            </w:r>
          </w:p>
        </w:tc>
      </w:tr>
      <w:tr w:rsidR="001E16F9" w:rsidRPr="004F5E49" w:rsidTr="001E16F9">
        <w:tc>
          <w:tcPr>
            <w:tcW w:w="702" w:type="dxa"/>
          </w:tcPr>
          <w:p w:rsidR="001E16F9" w:rsidRPr="004F5E49" w:rsidRDefault="001E16F9" w:rsidP="00B05B72">
            <w:pPr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 xml:space="preserve">2013 </w:t>
            </w:r>
            <w:r w:rsidR="00B05B72" w:rsidRPr="004F5E49">
              <w:rPr>
                <w:rFonts w:ascii="Perpetua" w:hAnsi="Perpetua"/>
                <w:sz w:val="16"/>
                <w:szCs w:val="16"/>
              </w:rPr>
              <w:t>(%)</w:t>
            </w:r>
          </w:p>
        </w:tc>
        <w:tc>
          <w:tcPr>
            <w:tcW w:w="702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7,3</w:t>
            </w:r>
          </w:p>
        </w:tc>
        <w:tc>
          <w:tcPr>
            <w:tcW w:w="705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6,1</w:t>
            </w:r>
          </w:p>
        </w:tc>
        <w:tc>
          <w:tcPr>
            <w:tcW w:w="705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5,1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5,0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7,0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11,0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12,2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11,9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10,0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7,9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6,0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4,5</w:t>
            </w:r>
          </w:p>
        </w:tc>
        <w:tc>
          <w:tcPr>
            <w:tcW w:w="704" w:type="dxa"/>
          </w:tcPr>
          <w:p w:rsidR="001E16F9" w:rsidRPr="004F5E49" w:rsidRDefault="001E16F9" w:rsidP="00CF35B3">
            <w:pPr>
              <w:jc w:val="center"/>
              <w:rPr>
                <w:rFonts w:ascii="Perpetua" w:hAnsi="Perpetua"/>
                <w:sz w:val="16"/>
                <w:szCs w:val="16"/>
              </w:rPr>
            </w:pPr>
            <w:r w:rsidRPr="004F5E49">
              <w:rPr>
                <w:rFonts w:ascii="Perpetua" w:hAnsi="Perpetua"/>
                <w:sz w:val="16"/>
                <w:szCs w:val="16"/>
              </w:rPr>
              <w:t>6,0</w:t>
            </w:r>
          </w:p>
        </w:tc>
      </w:tr>
    </w:tbl>
    <w:p w:rsidR="00C91CCB" w:rsidRDefault="00C91CCB" w:rsidP="009178C1">
      <w:pPr>
        <w:rPr>
          <w:rFonts w:ascii="Perpetua" w:hAnsi="Perpetua"/>
          <w:sz w:val="22"/>
          <w:szCs w:val="22"/>
        </w:rPr>
      </w:pPr>
    </w:p>
    <w:p w:rsidR="001015E7" w:rsidRPr="004F5E49" w:rsidRDefault="001015E7" w:rsidP="009178C1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Graf. 4. Evoluzione struttura popolazione straniera rispetto all’età</w:t>
      </w:r>
    </w:p>
    <w:p w:rsidR="00027613" w:rsidRDefault="0012034E" w:rsidP="009178C1">
      <w:pPr>
        <w:rPr>
          <w:rFonts w:ascii="Perpetua" w:hAnsi="Perpetua"/>
          <w:b/>
          <w:i/>
        </w:rPr>
      </w:pPr>
      <w:r w:rsidRPr="0012034E">
        <w:rPr>
          <w:rFonts w:ascii="Perpetua" w:hAnsi="Perpetua"/>
          <w:b/>
          <w:i/>
          <w:noProof/>
        </w:rPr>
        <w:drawing>
          <wp:inline distT="0" distB="0" distL="0" distR="0">
            <wp:extent cx="5644771" cy="3111689"/>
            <wp:effectExtent l="1905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34E" w:rsidRDefault="0012034E" w:rsidP="009178C1">
      <w:pPr>
        <w:rPr>
          <w:rFonts w:ascii="Perpetua" w:hAnsi="Perpetua"/>
          <w:b/>
          <w:i/>
        </w:rPr>
      </w:pPr>
    </w:p>
    <w:p w:rsidR="00F57EB5" w:rsidRPr="004F5E49" w:rsidRDefault="004F3206" w:rsidP="009178C1">
      <w:pPr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>5</w:t>
      </w:r>
      <w:r w:rsidR="00027613" w:rsidRPr="004F5E49">
        <w:rPr>
          <w:rFonts w:ascii="Perpetua" w:hAnsi="Perpetua"/>
          <w:b/>
        </w:rPr>
        <w:t xml:space="preserve">. </w:t>
      </w:r>
      <w:r w:rsidR="0015156F" w:rsidRPr="004F5E49">
        <w:rPr>
          <w:rFonts w:ascii="Perpetua" w:hAnsi="Perpetua"/>
          <w:b/>
        </w:rPr>
        <w:t>Oltre 130 nazionalità diverse</w:t>
      </w:r>
    </w:p>
    <w:p w:rsidR="00027613" w:rsidRPr="004F5E49" w:rsidRDefault="00027613" w:rsidP="00370C8A">
      <w:pPr>
        <w:jc w:val="both"/>
        <w:rPr>
          <w:rFonts w:ascii="Perpetua" w:hAnsi="Perpetua"/>
        </w:rPr>
      </w:pPr>
    </w:p>
    <w:p w:rsidR="0015156F" w:rsidRPr="004F5E49" w:rsidRDefault="0015156F" w:rsidP="00370C8A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>Nella provincia di Arezzo al</w:t>
      </w:r>
      <w:r w:rsidR="00456279" w:rsidRPr="004F5E49">
        <w:rPr>
          <w:rFonts w:ascii="Perpetua" w:hAnsi="Perpetua"/>
        </w:rPr>
        <w:t>l’</w:t>
      </w:r>
      <w:r w:rsidRPr="004F5E49">
        <w:rPr>
          <w:rFonts w:ascii="Perpetua" w:hAnsi="Perpetua"/>
        </w:rPr>
        <w:t>1/1/2014 risiedevano cittadini di 131 stati esteri, benché la metà proven</w:t>
      </w:r>
      <w:r w:rsidR="00456279" w:rsidRPr="004F5E49">
        <w:rPr>
          <w:rFonts w:ascii="Perpetua" w:hAnsi="Perpetua"/>
        </w:rPr>
        <w:t>ivano</w:t>
      </w:r>
      <w:r w:rsidRPr="004F5E49">
        <w:rPr>
          <w:rFonts w:ascii="Perpetua" w:hAnsi="Perpetua"/>
        </w:rPr>
        <w:t xml:space="preserve"> da due stati europei, Romania e Albania. I rumeni </w:t>
      </w:r>
      <w:r w:rsidR="00370C8A" w:rsidRPr="004F5E49">
        <w:rPr>
          <w:rFonts w:ascii="Perpetua" w:hAnsi="Perpetua"/>
        </w:rPr>
        <w:t xml:space="preserve">residenti </w:t>
      </w:r>
      <w:r w:rsidRPr="004F5E49">
        <w:rPr>
          <w:rFonts w:ascii="Perpetua" w:hAnsi="Perpetua"/>
        </w:rPr>
        <w:t xml:space="preserve">sono 13.219 </w:t>
      </w:r>
      <w:r w:rsidR="00370C8A" w:rsidRPr="004F5E49">
        <w:rPr>
          <w:rFonts w:ascii="Perpetua" w:hAnsi="Perpetua"/>
        </w:rPr>
        <w:t>e rappresentano il</w:t>
      </w:r>
      <w:r w:rsidRPr="004F5E49">
        <w:rPr>
          <w:rFonts w:ascii="Perpetua" w:hAnsi="Perpetua"/>
        </w:rPr>
        <w:t xml:space="preserve"> 35,2% del totale complessivo; </w:t>
      </w:r>
      <w:r w:rsidR="00456279" w:rsidRPr="004F5E49">
        <w:rPr>
          <w:rFonts w:ascii="Perpetua" w:hAnsi="Perpetua"/>
        </w:rPr>
        <w:t>gli</w:t>
      </w:r>
      <w:r w:rsidRPr="004F5E49">
        <w:rPr>
          <w:rFonts w:ascii="Perpetua" w:hAnsi="Perpetua"/>
        </w:rPr>
        <w:t xml:space="preserve"> albanesi</w:t>
      </w:r>
      <w:r w:rsidR="00370C8A" w:rsidRPr="004F5E49">
        <w:rPr>
          <w:rFonts w:ascii="Perpetua" w:hAnsi="Perpetua"/>
        </w:rPr>
        <w:t>,</w:t>
      </w:r>
      <w:r w:rsidRPr="004F5E49">
        <w:rPr>
          <w:rFonts w:ascii="Perpetua" w:hAnsi="Perpetua"/>
        </w:rPr>
        <w:t xml:space="preserve"> </w:t>
      </w:r>
      <w:r w:rsidR="00370C8A" w:rsidRPr="004F5E49">
        <w:rPr>
          <w:rFonts w:ascii="Perpetua" w:hAnsi="Perpetua"/>
        </w:rPr>
        <w:t>collettività con una storia migratoria consolidata</w:t>
      </w:r>
      <w:r w:rsidR="00456279" w:rsidRPr="004F5E49">
        <w:rPr>
          <w:rFonts w:ascii="Perpetua" w:hAnsi="Perpetua"/>
        </w:rPr>
        <w:t xml:space="preserve"> nella nostra provincia</w:t>
      </w:r>
      <w:r w:rsidR="00370C8A" w:rsidRPr="004F5E49">
        <w:rPr>
          <w:rFonts w:ascii="Perpetua" w:hAnsi="Perpetua"/>
        </w:rPr>
        <w:t xml:space="preserve"> ammontano a </w:t>
      </w:r>
      <w:r w:rsidRPr="004F5E49">
        <w:rPr>
          <w:rFonts w:ascii="Perpetua" w:hAnsi="Perpetua"/>
        </w:rPr>
        <w:t xml:space="preserve">5.525 unità (il 14,7%). </w:t>
      </w:r>
      <w:r w:rsidR="00456279" w:rsidRPr="004F5E49">
        <w:rPr>
          <w:rFonts w:ascii="Perpetua" w:hAnsi="Perpetua"/>
        </w:rPr>
        <w:t xml:space="preserve">A seguire, </w:t>
      </w:r>
      <w:r w:rsidRPr="004F5E49">
        <w:rPr>
          <w:rFonts w:ascii="Perpetua" w:hAnsi="Perpetua"/>
        </w:rPr>
        <w:t>tutte le altre nazionalit</w:t>
      </w:r>
      <w:r w:rsidR="00370C8A" w:rsidRPr="004F5E49">
        <w:rPr>
          <w:rFonts w:ascii="Perpetua" w:hAnsi="Perpetua"/>
        </w:rPr>
        <w:t xml:space="preserve">à </w:t>
      </w:r>
      <w:r w:rsidR="00456279" w:rsidRPr="004F5E49">
        <w:rPr>
          <w:rFonts w:ascii="Perpetua" w:hAnsi="Perpetua"/>
        </w:rPr>
        <w:t xml:space="preserve">estere </w:t>
      </w:r>
      <w:r w:rsidR="00370C8A" w:rsidRPr="004F5E49">
        <w:rPr>
          <w:rFonts w:ascii="Perpetua" w:hAnsi="Perpetua"/>
        </w:rPr>
        <w:t xml:space="preserve">come indicato nella tabella 5, </w:t>
      </w:r>
      <w:r w:rsidR="00456279" w:rsidRPr="004F5E49">
        <w:rPr>
          <w:rFonts w:ascii="Perpetua" w:hAnsi="Perpetua"/>
        </w:rPr>
        <w:t xml:space="preserve">benché </w:t>
      </w:r>
      <w:r w:rsidR="00370C8A" w:rsidRPr="004F5E49">
        <w:rPr>
          <w:rFonts w:ascii="Perpetua" w:hAnsi="Perpetua"/>
        </w:rPr>
        <w:t xml:space="preserve">nessuna </w:t>
      </w:r>
      <w:r w:rsidR="00456279" w:rsidRPr="004F5E49">
        <w:rPr>
          <w:rFonts w:ascii="Perpetua" w:hAnsi="Perpetua"/>
        </w:rPr>
        <w:t>superi</w:t>
      </w:r>
      <w:r w:rsidR="00370C8A" w:rsidRPr="004F5E49">
        <w:rPr>
          <w:rFonts w:ascii="Perpetua" w:hAnsi="Perpetua"/>
        </w:rPr>
        <w:t xml:space="preserve"> una presenza del 6%. Particolarmente significativo </w:t>
      </w:r>
      <w:r w:rsidR="00456279" w:rsidRPr="004F5E49">
        <w:rPr>
          <w:rFonts w:ascii="Perpetua" w:hAnsi="Perpetua"/>
        </w:rPr>
        <w:t xml:space="preserve">è stato </w:t>
      </w:r>
      <w:r w:rsidR="00370C8A" w:rsidRPr="004F5E49">
        <w:rPr>
          <w:rFonts w:ascii="Perpetua" w:hAnsi="Perpetua"/>
        </w:rPr>
        <w:t xml:space="preserve">il calo di presenze per </w:t>
      </w:r>
      <w:r w:rsidR="00456279" w:rsidRPr="004F5E49">
        <w:rPr>
          <w:rFonts w:ascii="Perpetua" w:hAnsi="Perpetua"/>
        </w:rPr>
        <w:t>le</w:t>
      </w:r>
      <w:r w:rsidR="00370C8A" w:rsidRPr="004F5E49">
        <w:rPr>
          <w:rFonts w:ascii="Perpetua" w:hAnsi="Perpetua"/>
        </w:rPr>
        <w:t xml:space="preserve"> due nazionalità</w:t>
      </w:r>
      <w:r w:rsidR="00456279" w:rsidRPr="004F5E49">
        <w:rPr>
          <w:rFonts w:ascii="Perpetua" w:hAnsi="Perpetua"/>
        </w:rPr>
        <w:t xml:space="preserve"> estere citate</w:t>
      </w:r>
      <w:r w:rsidR="00370C8A" w:rsidRPr="004F5E49">
        <w:rPr>
          <w:rFonts w:ascii="Perpetua" w:hAnsi="Perpetua"/>
        </w:rPr>
        <w:t xml:space="preserve"> (gli albanesi </w:t>
      </w:r>
      <w:r w:rsidR="00456279" w:rsidRPr="004F5E49">
        <w:rPr>
          <w:rFonts w:ascii="Perpetua" w:hAnsi="Perpetua"/>
        </w:rPr>
        <w:t xml:space="preserve">del resto </w:t>
      </w:r>
      <w:r w:rsidR="00370C8A" w:rsidRPr="004F5E49">
        <w:rPr>
          <w:rFonts w:ascii="Perpetua" w:hAnsi="Perpetua"/>
        </w:rPr>
        <w:t xml:space="preserve">sono in </w:t>
      </w:r>
      <w:r w:rsidR="00456279" w:rsidRPr="004F5E49">
        <w:rPr>
          <w:rFonts w:ascii="Perpetua" w:hAnsi="Perpetua"/>
        </w:rPr>
        <w:t>calo</w:t>
      </w:r>
      <w:r w:rsidR="00BC22C3" w:rsidRPr="004F5E49">
        <w:rPr>
          <w:rFonts w:ascii="Perpetua" w:hAnsi="Perpetua"/>
        </w:rPr>
        <w:t xml:space="preserve"> numerico</w:t>
      </w:r>
      <w:r w:rsidR="00370C8A" w:rsidRPr="004F5E49">
        <w:rPr>
          <w:rFonts w:ascii="Perpetua" w:hAnsi="Perpetua"/>
        </w:rPr>
        <w:t xml:space="preserve"> da almeno un paio d’anni) e per le altre due </w:t>
      </w:r>
      <w:r w:rsidR="00456279" w:rsidRPr="004F5E49">
        <w:rPr>
          <w:rFonts w:ascii="Perpetua" w:hAnsi="Perpetua"/>
        </w:rPr>
        <w:t>che seguono nella graduatoria</w:t>
      </w:r>
      <w:r w:rsidR="00370C8A" w:rsidRPr="004F5E49">
        <w:rPr>
          <w:rFonts w:ascii="Perpetua" w:hAnsi="Perpetua"/>
        </w:rPr>
        <w:t>, storicamente presenti sul territorio provincial</w:t>
      </w:r>
      <w:r w:rsidR="00456279" w:rsidRPr="004F5E49">
        <w:rPr>
          <w:rFonts w:ascii="Perpetua" w:hAnsi="Perpetua"/>
        </w:rPr>
        <w:t>e, ovvero la marocchina</w:t>
      </w:r>
      <w:r w:rsidR="00370C8A" w:rsidRPr="004F5E49">
        <w:rPr>
          <w:rFonts w:ascii="Perpetua" w:hAnsi="Perpetua"/>
        </w:rPr>
        <w:t xml:space="preserve"> e </w:t>
      </w:r>
      <w:r w:rsidR="00456279" w:rsidRPr="004F5E49">
        <w:rPr>
          <w:rFonts w:ascii="Perpetua" w:hAnsi="Perpetua"/>
        </w:rPr>
        <w:t xml:space="preserve">la </w:t>
      </w:r>
      <w:r w:rsidR="00370C8A" w:rsidRPr="004F5E49">
        <w:rPr>
          <w:rFonts w:ascii="Perpetua" w:hAnsi="Perpetua"/>
        </w:rPr>
        <w:t>banglades</w:t>
      </w:r>
      <w:r w:rsidR="00456279" w:rsidRPr="004F5E49">
        <w:rPr>
          <w:rFonts w:ascii="Perpetua" w:hAnsi="Perpetua"/>
        </w:rPr>
        <w:t>e</w:t>
      </w:r>
      <w:r w:rsidR="00370C8A" w:rsidRPr="004F5E49">
        <w:rPr>
          <w:rFonts w:ascii="Perpetua" w:hAnsi="Perpetua"/>
        </w:rPr>
        <w:t>. La collettività del Bangladesh, molto forte numericamente nel</w:t>
      </w:r>
      <w:r w:rsidR="00BC22C3" w:rsidRPr="004F5E49">
        <w:rPr>
          <w:rFonts w:ascii="Perpetua" w:hAnsi="Perpetua"/>
        </w:rPr>
        <w:t>la città di Arezzo</w:t>
      </w:r>
      <w:r w:rsidR="00370C8A" w:rsidRPr="004F5E49">
        <w:rPr>
          <w:rFonts w:ascii="Perpetua" w:hAnsi="Perpetua"/>
        </w:rPr>
        <w:t xml:space="preserve">, ha fatto registrare </w:t>
      </w:r>
      <w:r w:rsidR="00BC22C3" w:rsidRPr="004F5E49">
        <w:rPr>
          <w:rFonts w:ascii="Perpetua" w:hAnsi="Perpetua"/>
        </w:rPr>
        <w:t xml:space="preserve">nel breve giro di un anno, </w:t>
      </w:r>
      <w:r w:rsidR="00370C8A" w:rsidRPr="004F5E49">
        <w:rPr>
          <w:rFonts w:ascii="Perpetua" w:hAnsi="Perpetua"/>
        </w:rPr>
        <w:t>una riduzione di circa il 15%</w:t>
      </w:r>
      <w:r w:rsidR="00BC22C3" w:rsidRPr="004F5E49">
        <w:rPr>
          <w:rFonts w:ascii="Perpetua" w:hAnsi="Perpetua"/>
        </w:rPr>
        <w:t>, doppia rispetto al decremento medio provinciale</w:t>
      </w:r>
      <w:r w:rsidR="00370C8A" w:rsidRPr="004F5E49">
        <w:rPr>
          <w:rFonts w:ascii="Perpetua" w:hAnsi="Perpetua"/>
        </w:rPr>
        <w:t xml:space="preserve">. </w:t>
      </w:r>
    </w:p>
    <w:p w:rsidR="00370C8A" w:rsidRPr="004F5E49" w:rsidRDefault="00370C8A" w:rsidP="00370C8A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In controtendenza, invece, </w:t>
      </w:r>
      <w:r w:rsidR="00BC22C3" w:rsidRPr="004F5E49">
        <w:rPr>
          <w:rFonts w:ascii="Perpetua" w:hAnsi="Perpetua"/>
        </w:rPr>
        <w:t xml:space="preserve">i </w:t>
      </w:r>
      <w:r w:rsidRPr="004F5E49">
        <w:rPr>
          <w:rFonts w:ascii="Perpetua" w:hAnsi="Perpetua"/>
        </w:rPr>
        <w:t xml:space="preserve">cinesi e </w:t>
      </w:r>
      <w:r w:rsidR="00BC22C3" w:rsidRPr="004F5E49">
        <w:rPr>
          <w:rFonts w:ascii="Perpetua" w:hAnsi="Perpetua"/>
        </w:rPr>
        <w:t>i pakistani la cui presenza cresce sul 2012,</w:t>
      </w:r>
      <w:r w:rsidRPr="004F5E49">
        <w:rPr>
          <w:rFonts w:ascii="Perpetua" w:hAnsi="Perpetua"/>
        </w:rPr>
        <w:t xml:space="preserve"> rispettivamente del 9,5% e del 5,0%.</w:t>
      </w:r>
    </w:p>
    <w:p w:rsidR="0015156F" w:rsidRPr="004F5E49" w:rsidRDefault="0015156F" w:rsidP="009178C1">
      <w:pPr>
        <w:rPr>
          <w:rFonts w:ascii="Perpetua" w:hAnsi="Perpetua"/>
        </w:rPr>
      </w:pPr>
    </w:p>
    <w:p w:rsidR="00F57EB5" w:rsidRPr="004F5E49" w:rsidRDefault="001015E7" w:rsidP="009178C1">
      <w:p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Tab. 6</w:t>
      </w:r>
      <w:r w:rsidR="009B1E7F" w:rsidRPr="004F5E49">
        <w:rPr>
          <w:rFonts w:ascii="Perpetua" w:hAnsi="Perpetua"/>
          <w:sz w:val="20"/>
          <w:szCs w:val="20"/>
        </w:rPr>
        <w:t xml:space="preserve"> – </w:t>
      </w:r>
      <w:r w:rsidR="00F57EB5" w:rsidRPr="004F5E49">
        <w:rPr>
          <w:rFonts w:ascii="Perpetua" w:hAnsi="Perpetua"/>
          <w:sz w:val="20"/>
          <w:szCs w:val="20"/>
        </w:rPr>
        <w:t>Princip</w:t>
      </w:r>
      <w:r w:rsidR="00310DF9" w:rsidRPr="004F5E49">
        <w:rPr>
          <w:rFonts w:ascii="Perpetua" w:hAnsi="Perpetua"/>
          <w:sz w:val="20"/>
          <w:szCs w:val="20"/>
        </w:rPr>
        <w:t>ali nazionalità stranieri residenti (1/1/2014)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5"/>
        <w:gridCol w:w="1805"/>
        <w:gridCol w:w="1533"/>
        <w:gridCol w:w="1705"/>
      </w:tblGrid>
      <w:tr w:rsidR="00C91CCB" w:rsidRPr="004F5E49" w:rsidTr="0015156F">
        <w:trPr>
          <w:trHeight w:val="287"/>
        </w:trPr>
        <w:tc>
          <w:tcPr>
            <w:tcW w:w="2421" w:type="pct"/>
            <w:shd w:val="clear" w:color="auto" w:fill="auto"/>
            <w:vAlign w:val="bottom"/>
            <w:hideMark/>
          </w:tcPr>
          <w:p w:rsidR="00C91CCB" w:rsidRPr="004F5E49" w:rsidRDefault="00C91CCB" w:rsidP="00310DF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C</w:t>
            </w:r>
            <w:r w:rsidR="00310DF9" w:rsidRPr="004F5E49">
              <w:rPr>
                <w:rFonts w:ascii="Perpetua" w:hAnsi="Perpetua"/>
                <w:bCs/>
                <w:sz w:val="18"/>
                <w:szCs w:val="18"/>
              </w:rPr>
              <w:t>ittadinanze</w:t>
            </w:r>
          </w:p>
        </w:tc>
        <w:tc>
          <w:tcPr>
            <w:tcW w:w="923" w:type="pct"/>
            <w:shd w:val="clear" w:color="auto" w:fill="auto"/>
            <w:vAlign w:val="bottom"/>
            <w:hideMark/>
          </w:tcPr>
          <w:p w:rsidR="00310DF9" w:rsidRPr="004F5E49" w:rsidRDefault="00C91CCB" w:rsidP="00C91CCB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Totale</w:t>
            </w:r>
          </w:p>
          <w:p w:rsidR="00C91CCB" w:rsidRPr="004F5E49" w:rsidRDefault="00C91CCB" w:rsidP="00C91CCB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 xml:space="preserve"> presenze 2013</w:t>
            </w:r>
          </w:p>
        </w:tc>
        <w:tc>
          <w:tcPr>
            <w:tcW w:w="784" w:type="pct"/>
            <w:shd w:val="clear" w:color="auto" w:fill="auto"/>
            <w:vAlign w:val="bottom"/>
            <w:hideMark/>
          </w:tcPr>
          <w:p w:rsidR="00310DF9" w:rsidRPr="004F5E49" w:rsidRDefault="00C91CCB" w:rsidP="00C91CCB">
            <w:pPr>
              <w:jc w:val="center"/>
              <w:rPr>
                <w:rFonts w:ascii="Perpetua" w:hAnsi="Perpetua"/>
                <w:bCs/>
                <w:i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iCs/>
                <w:sz w:val="18"/>
                <w:szCs w:val="18"/>
              </w:rPr>
              <w:t xml:space="preserve">2013 </w:t>
            </w:r>
            <w:r w:rsidR="00310DF9" w:rsidRPr="004F5E49">
              <w:rPr>
                <w:rFonts w:ascii="Perpetua" w:hAnsi="Perpetua"/>
                <w:bCs/>
                <w:iCs/>
                <w:sz w:val="18"/>
                <w:szCs w:val="18"/>
              </w:rPr>
              <w:t>–</w:t>
            </w:r>
            <w:r w:rsidRPr="004F5E49">
              <w:rPr>
                <w:rFonts w:ascii="Perpetua" w:hAnsi="Perpetua"/>
                <w:bCs/>
                <w:iCs/>
                <w:sz w:val="18"/>
                <w:szCs w:val="18"/>
              </w:rPr>
              <w:t xml:space="preserve"> </w:t>
            </w:r>
          </w:p>
          <w:p w:rsidR="00C91CCB" w:rsidRPr="004F5E49" w:rsidRDefault="00C91CCB" w:rsidP="00310DF9">
            <w:pPr>
              <w:jc w:val="center"/>
              <w:rPr>
                <w:rFonts w:ascii="Perpetua" w:hAnsi="Perpetua"/>
                <w:bCs/>
                <w:i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iCs/>
                <w:sz w:val="18"/>
                <w:szCs w:val="18"/>
              </w:rPr>
              <w:t>% sul totale</w:t>
            </w:r>
          </w:p>
        </w:tc>
        <w:tc>
          <w:tcPr>
            <w:tcW w:w="872" w:type="pct"/>
            <w:shd w:val="clear" w:color="auto" w:fill="auto"/>
            <w:vAlign w:val="bottom"/>
            <w:hideMark/>
          </w:tcPr>
          <w:p w:rsidR="00C91CCB" w:rsidRPr="004F5E49" w:rsidRDefault="00F57EB5" w:rsidP="00C91CCB">
            <w:pPr>
              <w:jc w:val="center"/>
              <w:rPr>
                <w:rFonts w:ascii="Perpetua" w:hAnsi="Perpetua"/>
                <w:bCs/>
                <w:i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iCs/>
                <w:sz w:val="18"/>
                <w:szCs w:val="18"/>
              </w:rPr>
              <w:t xml:space="preserve">Incremento </w:t>
            </w:r>
            <w:r w:rsidR="00C91CCB" w:rsidRPr="004F5E49">
              <w:rPr>
                <w:rFonts w:ascii="Perpetua" w:hAnsi="Perpetua"/>
                <w:bCs/>
                <w:iCs/>
                <w:sz w:val="18"/>
                <w:szCs w:val="18"/>
              </w:rPr>
              <w:t>% 2012/2013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Romania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13.219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35,2%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-8,7%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Albania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5.525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14,7%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-6,6%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Marocco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2.120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5,6%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-8,3%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Bangladesh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1.801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4,8%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-14,0%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I</w:t>
            </w:r>
            <w:r w:rsidR="0015156F" w:rsidRPr="004F5E49">
              <w:rPr>
                <w:rFonts w:ascii="Perpetua" w:hAnsi="Perpetua"/>
                <w:sz w:val="18"/>
                <w:szCs w:val="18"/>
              </w:rPr>
              <w:t>ndia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2.080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5,5%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0,4%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Polonia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1.170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3,1%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-9,5%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Pakistan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1.258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3,3%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5,0%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Cina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1.218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3,2%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9,5%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Macedonia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767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2,0%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4,1%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hideMark/>
          </w:tcPr>
          <w:p w:rsidR="00C91CCB" w:rsidRPr="004F5E49" w:rsidRDefault="0015156F" w:rsidP="00C91CCB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Kosovo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777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2,1%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19,5%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Filippine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654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1,7%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5,3%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Ucraina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528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1,4%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-5,4%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Regno Unito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475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1,3%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-11,2%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15156F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Rep. Dominicana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486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1,3%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-8,5%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Germania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482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1,3%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-7,3%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Tunisia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378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1,0%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-11,1%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Bulgaria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350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0,9%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-8,6%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hideMark/>
          </w:tcPr>
          <w:p w:rsidR="00C91CCB" w:rsidRPr="004F5E49" w:rsidRDefault="0015156F" w:rsidP="00C91CCB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343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0,9%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-2,6%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hideMark/>
          </w:tcPr>
          <w:p w:rsidR="00C91CCB" w:rsidRPr="004F5E49" w:rsidRDefault="0015156F" w:rsidP="00C91CCB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308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0,8%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-12,0%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hideMark/>
          </w:tcPr>
          <w:p w:rsidR="00C91CCB" w:rsidRPr="004F5E49" w:rsidRDefault="0015156F" w:rsidP="0015156F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203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0,5%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-28,8%</w:t>
            </w:r>
          </w:p>
        </w:tc>
      </w:tr>
      <w:tr w:rsidR="00C91CCB" w:rsidRPr="004F5E49" w:rsidTr="00F57EB5">
        <w:trPr>
          <w:trHeight w:val="255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Altre nazionalità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3.456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9,2%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-11,5%</w:t>
            </w:r>
          </w:p>
        </w:tc>
      </w:tr>
      <w:tr w:rsidR="00C91CCB" w:rsidRPr="004F5E49" w:rsidTr="00F57EB5">
        <w:trPr>
          <w:trHeight w:val="270"/>
        </w:trPr>
        <w:tc>
          <w:tcPr>
            <w:tcW w:w="2421" w:type="pct"/>
            <w:shd w:val="clear" w:color="auto" w:fill="auto"/>
            <w:noWrap/>
            <w:vAlign w:val="bottom"/>
            <w:hideMark/>
          </w:tcPr>
          <w:p w:rsidR="00C91CCB" w:rsidRPr="004F5E49" w:rsidRDefault="0015156F" w:rsidP="00C91CCB">
            <w:pPr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37.598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C91CCB" w:rsidRPr="004F5E49" w:rsidRDefault="000357E0" w:rsidP="00C91CCB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100,0</w:t>
            </w:r>
            <w:r w:rsidR="00C91CCB" w:rsidRPr="004F5E49">
              <w:rPr>
                <w:rFonts w:ascii="Perpetua" w:hAnsi="Perpetu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C91CCB" w:rsidRPr="004F5E49" w:rsidRDefault="00C91CCB" w:rsidP="00C91CCB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-6,8%</w:t>
            </w:r>
          </w:p>
        </w:tc>
      </w:tr>
    </w:tbl>
    <w:p w:rsidR="00E270AE" w:rsidRPr="004F5E49" w:rsidRDefault="00E270AE" w:rsidP="00505559">
      <w:pPr>
        <w:jc w:val="both"/>
        <w:rPr>
          <w:rFonts w:ascii="Perpetua" w:hAnsi="Perpetua"/>
          <w:sz w:val="22"/>
          <w:szCs w:val="22"/>
        </w:rPr>
      </w:pPr>
    </w:p>
    <w:p w:rsidR="00027613" w:rsidRPr="004F5E49" w:rsidRDefault="00027613" w:rsidP="00505559">
      <w:pPr>
        <w:jc w:val="both"/>
        <w:rPr>
          <w:rFonts w:ascii="Perpetua" w:hAnsi="Perpetua"/>
          <w:b/>
          <w:i/>
        </w:rPr>
      </w:pPr>
    </w:p>
    <w:p w:rsidR="008C7F94" w:rsidRPr="004F5E49" w:rsidRDefault="004F3206" w:rsidP="00505559">
      <w:pPr>
        <w:jc w:val="both"/>
        <w:rPr>
          <w:rFonts w:ascii="Perpetua" w:hAnsi="Perpetua"/>
          <w:b/>
        </w:rPr>
      </w:pPr>
      <w:r>
        <w:rPr>
          <w:rFonts w:ascii="Perpetua" w:hAnsi="Perpetua"/>
          <w:b/>
        </w:rPr>
        <w:t>6</w:t>
      </w:r>
      <w:r w:rsidR="00027613" w:rsidRPr="004F5E49">
        <w:rPr>
          <w:rFonts w:ascii="Perpetua" w:hAnsi="Perpetua"/>
          <w:b/>
        </w:rPr>
        <w:t xml:space="preserve">. </w:t>
      </w:r>
      <w:r w:rsidR="00E270AE" w:rsidRPr="004F5E49">
        <w:rPr>
          <w:rFonts w:ascii="Perpetua" w:hAnsi="Perpetua"/>
          <w:b/>
        </w:rPr>
        <w:t>F</w:t>
      </w:r>
      <w:r w:rsidR="000D613C" w:rsidRPr="004F5E49">
        <w:rPr>
          <w:rFonts w:ascii="Perpetua" w:hAnsi="Perpetua"/>
          <w:b/>
        </w:rPr>
        <w:t xml:space="preserve">igli </w:t>
      </w:r>
      <w:r w:rsidR="00E270AE" w:rsidRPr="004F5E49">
        <w:rPr>
          <w:rFonts w:ascii="Perpetua" w:hAnsi="Perpetua"/>
          <w:b/>
        </w:rPr>
        <w:t xml:space="preserve">e figlie </w:t>
      </w:r>
      <w:r w:rsidR="000D613C" w:rsidRPr="004F5E49">
        <w:rPr>
          <w:rFonts w:ascii="Perpetua" w:hAnsi="Perpetua"/>
          <w:b/>
        </w:rPr>
        <w:t>dell’immigrazione</w:t>
      </w:r>
      <w:r>
        <w:rPr>
          <w:rFonts w:ascii="Perpetua" w:hAnsi="Perpetua"/>
          <w:b/>
        </w:rPr>
        <w:t xml:space="preserve"> e nuclei familiari residenti</w:t>
      </w:r>
      <w:r w:rsidR="00B96AE2" w:rsidRPr="004F5E49">
        <w:rPr>
          <w:rFonts w:ascii="Perpetua" w:hAnsi="Perpetua"/>
          <w:b/>
        </w:rPr>
        <w:t>: il calo della presenza riguarda anche loro</w:t>
      </w:r>
    </w:p>
    <w:p w:rsidR="00027613" w:rsidRPr="004F5E49" w:rsidRDefault="00027613" w:rsidP="00505559">
      <w:pPr>
        <w:jc w:val="both"/>
        <w:rPr>
          <w:rFonts w:ascii="Perpetua" w:hAnsi="Perpetua"/>
        </w:rPr>
      </w:pPr>
    </w:p>
    <w:p w:rsidR="00B96AE2" w:rsidRPr="004F5E49" w:rsidRDefault="00CF35B3" w:rsidP="00505559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 xml:space="preserve">L’afflusso migratorio </w:t>
      </w:r>
      <w:r w:rsidR="00FB5DD3" w:rsidRPr="004F5E49">
        <w:rPr>
          <w:rFonts w:ascii="Perpetua" w:hAnsi="Perpetua"/>
        </w:rPr>
        <w:t xml:space="preserve">ha permesso (e permette) </w:t>
      </w:r>
      <w:r w:rsidRPr="004F5E49">
        <w:rPr>
          <w:rFonts w:ascii="Perpetua" w:hAnsi="Perpetua"/>
        </w:rPr>
        <w:t xml:space="preserve">al nostro territorio di “rinverdire” la popolazione residente, che altrimenti sarebbe </w:t>
      </w:r>
      <w:r w:rsidR="00FB5DD3" w:rsidRPr="004F5E49">
        <w:rPr>
          <w:rFonts w:ascii="Perpetua" w:hAnsi="Perpetua"/>
        </w:rPr>
        <w:t xml:space="preserve">(stata) </w:t>
      </w:r>
      <w:r w:rsidRPr="004F5E49">
        <w:rPr>
          <w:rFonts w:ascii="Perpetua" w:hAnsi="Perpetua"/>
        </w:rPr>
        <w:t>destinata al declino demografico, poiché il calo della natalità e il progressivo invecchiamento della popolazione viene compensato da una fertilità superiore delle don</w:t>
      </w:r>
      <w:r w:rsidR="00B96AE2" w:rsidRPr="004F5E49">
        <w:rPr>
          <w:rFonts w:ascii="Perpetua" w:hAnsi="Perpetua"/>
        </w:rPr>
        <w:t>ne di origine straniera. Nel 2013 circa 2 nati su 10</w:t>
      </w:r>
      <w:r w:rsidR="00FB5DD3" w:rsidRPr="004F5E49">
        <w:rPr>
          <w:rFonts w:ascii="Perpetua" w:hAnsi="Perpetua"/>
        </w:rPr>
        <w:t xml:space="preserve"> in provincia</w:t>
      </w:r>
      <w:r w:rsidR="00B96AE2" w:rsidRPr="004F5E49">
        <w:rPr>
          <w:rFonts w:ascii="Perpetua" w:hAnsi="Perpetua"/>
        </w:rPr>
        <w:t xml:space="preserve"> erano stranieri (vedi tab. 6). </w:t>
      </w:r>
    </w:p>
    <w:p w:rsidR="00B96AE2" w:rsidRPr="004F5E49" w:rsidRDefault="00B96AE2" w:rsidP="009B1E7F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t>Complessivam</w:t>
      </w:r>
      <w:r w:rsidR="00FB5DD3" w:rsidRPr="004F5E49">
        <w:rPr>
          <w:rFonts w:ascii="Perpetua" w:hAnsi="Perpetua"/>
        </w:rPr>
        <w:t>ente</w:t>
      </w:r>
      <w:r w:rsidRPr="004F5E49">
        <w:rPr>
          <w:rFonts w:ascii="Perpetua" w:hAnsi="Perpetua"/>
        </w:rPr>
        <w:t xml:space="preserve"> le G2 (seconde generazioni), ovvero gli stranieri nati in Italia e oggi residenti nella nostra provincia ammontano a 5.171 unità</w:t>
      </w:r>
      <w:r w:rsidR="00FB5DD3" w:rsidRPr="004F5E49">
        <w:rPr>
          <w:rFonts w:ascii="Perpetua" w:hAnsi="Perpetua"/>
        </w:rPr>
        <w:t>: esse</w:t>
      </w:r>
      <w:r w:rsidR="0022527F" w:rsidRPr="004F5E49">
        <w:rPr>
          <w:rFonts w:ascii="Perpetua" w:hAnsi="Perpetua"/>
        </w:rPr>
        <w:t xml:space="preserve"> rappresentano il 13,5% di tutti gli stranieri residenti (lo scorso anno erano il 13,9%, ma tre anni fa il 12,8%)</w:t>
      </w:r>
      <w:r w:rsidRPr="004F5E49">
        <w:rPr>
          <w:rFonts w:ascii="Perpetua" w:hAnsi="Perpetua"/>
        </w:rPr>
        <w:t xml:space="preserve">. </w:t>
      </w:r>
      <w:r w:rsidR="0022527F" w:rsidRPr="004F5E49">
        <w:rPr>
          <w:rFonts w:ascii="Perpetua" w:hAnsi="Perpetua"/>
        </w:rPr>
        <w:t>Anche per le G2</w:t>
      </w:r>
      <w:r w:rsidR="00FB5DD3" w:rsidRPr="004F5E49">
        <w:rPr>
          <w:rFonts w:ascii="Perpetua" w:hAnsi="Perpetua"/>
        </w:rPr>
        <w:t>, dunque,</w:t>
      </w:r>
      <w:r w:rsidR="0022527F" w:rsidRPr="004F5E49">
        <w:rPr>
          <w:rFonts w:ascii="Perpetua" w:hAnsi="Perpetua"/>
        </w:rPr>
        <w:t xml:space="preserve"> si è registrata una riduzione di circa il 7% rispetto al dato del 2012</w:t>
      </w:r>
      <w:r w:rsidRPr="004F5E49">
        <w:rPr>
          <w:rFonts w:ascii="Perpetua" w:hAnsi="Perpetua"/>
        </w:rPr>
        <w:t xml:space="preserve"> (</w:t>
      </w:r>
      <w:r w:rsidR="0022527F" w:rsidRPr="004F5E49">
        <w:rPr>
          <w:rFonts w:ascii="Perpetua" w:hAnsi="Perpetua"/>
        </w:rPr>
        <w:t>quando ammontavano a</w:t>
      </w:r>
      <w:r w:rsidRPr="004F5E49">
        <w:rPr>
          <w:rFonts w:ascii="Perpetua" w:hAnsi="Perpetua"/>
        </w:rPr>
        <w:t xml:space="preserve"> </w:t>
      </w:r>
      <w:r w:rsidR="0022527F" w:rsidRPr="004F5E49">
        <w:rPr>
          <w:rFonts w:ascii="Perpetua" w:hAnsi="Perpetua"/>
        </w:rPr>
        <w:t>5.563 unità), il che evidenzia come la mobilità in uscita dall’Italia abbia coinvolto interi nuclei familiari e le madri con i figli in tenera età.</w:t>
      </w:r>
    </w:p>
    <w:p w:rsidR="00CF35B3" w:rsidRPr="004F5E49" w:rsidRDefault="0022527F" w:rsidP="009B1E7F">
      <w:pPr>
        <w:jc w:val="both"/>
        <w:rPr>
          <w:rFonts w:ascii="Perpetua" w:hAnsi="Perpetua"/>
        </w:rPr>
      </w:pPr>
      <w:r w:rsidRPr="004F5E49">
        <w:rPr>
          <w:rFonts w:ascii="Perpetua" w:hAnsi="Perpetua"/>
        </w:rPr>
        <w:lastRenderedPageBreak/>
        <w:t>La fasce d’età ove si registra il più alto</w:t>
      </w:r>
      <w:r w:rsidR="00FB5DD3" w:rsidRPr="004F5E49">
        <w:rPr>
          <w:rFonts w:ascii="Perpetua" w:hAnsi="Perpetua"/>
        </w:rPr>
        <w:t xml:space="preserve"> numero di nati in Italia sono </w:t>
      </w:r>
      <w:r w:rsidRPr="004F5E49">
        <w:rPr>
          <w:rFonts w:ascii="Perpetua" w:hAnsi="Perpetua"/>
        </w:rPr>
        <w:t>quelle più giovani: siamo vicini al 47% nella fascia 0-5 anni</w:t>
      </w:r>
      <w:r w:rsidR="009B1E7F" w:rsidRPr="004F5E49">
        <w:rPr>
          <w:rFonts w:ascii="Perpetua" w:hAnsi="Perpetua"/>
        </w:rPr>
        <w:t xml:space="preserve"> e 32% nella fascia 5-9 anni (vedi tab. 8).</w:t>
      </w:r>
      <w:r w:rsidR="00FB5DD3" w:rsidRPr="004F5E49">
        <w:rPr>
          <w:rFonts w:ascii="Perpetua" w:hAnsi="Perpetua"/>
        </w:rPr>
        <w:t xml:space="preserve"> Questo significa che le G2 oggi sono in prevalenza a scuola e nei servizi educativi.</w:t>
      </w:r>
    </w:p>
    <w:p w:rsidR="0022527F" w:rsidRPr="004F5E49" w:rsidRDefault="0022527F" w:rsidP="009178C1">
      <w:pPr>
        <w:rPr>
          <w:rFonts w:ascii="Perpetua" w:hAnsi="Perpetua"/>
          <w:sz w:val="22"/>
          <w:szCs w:val="22"/>
        </w:rPr>
      </w:pPr>
    </w:p>
    <w:p w:rsidR="006F5704" w:rsidRPr="004F5E49" w:rsidRDefault="004F3206" w:rsidP="00CF35B3">
      <w:pPr>
        <w:jc w:val="both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Tab.7</w:t>
      </w:r>
      <w:r w:rsidR="009B1E7F" w:rsidRPr="004F5E49">
        <w:rPr>
          <w:rFonts w:ascii="Perpetua" w:hAnsi="Perpetua"/>
          <w:sz w:val="20"/>
          <w:szCs w:val="20"/>
        </w:rPr>
        <w:t xml:space="preserve"> – </w:t>
      </w:r>
      <w:r w:rsidR="006F5704" w:rsidRPr="004F5E49">
        <w:rPr>
          <w:rFonts w:ascii="Perpetua" w:hAnsi="Perpetua"/>
          <w:sz w:val="20"/>
          <w:szCs w:val="20"/>
        </w:rPr>
        <w:t xml:space="preserve">Nati stranieri </w:t>
      </w:r>
      <w:r w:rsidR="00CF35B3" w:rsidRPr="004F5E49">
        <w:rPr>
          <w:rFonts w:ascii="Perpetua" w:hAnsi="Perpetua"/>
          <w:sz w:val="20"/>
          <w:szCs w:val="20"/>
        </w:rPr>
        <w:t xml:space="preserve">nel 2013 </w:t>
      </w:r>
      <w:r w:rsidR="0022527F" w:rsidRPr="004F5E49">
        <w:rPr>
          <w:rFonts w:ascii="Perpetua" w:hAnsi="Perpetua"/>
          <w:sz w:val="20"/>
          <w:szCs w:val="20"/>
        </w:rPr>
        <w:t>suddivisi</w:t>
      </w:r>
      <w:r w:rsidR="006F5704" w:rsidRPr="004F5E49">
        <w:rPr>
          <w:rFonts w:ascii="Perpetua" w:hAnsi="Perpetua"/>
          <w:sz w:val="20"/>
          <w:szCs w:val="20"/>
        </w:rPr>
        <w:t xml:space="preserve"> per zona</w:t>
      </w:r>
    </w:p>
    <w:tbl>
      <w:tblPr>
        <w:tblW w:w="2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9"/>
        <w:gridCol w:w="1287"/>
        <w:gridCol w:w="1038"/>
        <w:gridCol w:w="1536"/>
      </w:tblGrid>
      <w:tr w:rsidR="0022527F" w:rsidRPr="004F5E49" w:rsidTr="0022527F">
        <w:trPr>
          <w:trHeight w:val="540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CF35B3">
            <w:pPr>
              <w:tabs>
                <w:tab w:val="left" w:pos="570"/>
                <w:tab w:val="center" w:pos="854"/>
              </w:tabs>
              <w:jc w:val="center"/>
              <w:rPr>
                <w:rFonts w:ascii="Perpetua" w:hAnsi="Perpetua"/>
                <w:bCs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color w:val="000000"/>
                <w:sz w:val="18"/>
                <w:szCs w:val="18"/>
              </w:rPr>
              <w:t>Zona</w:t>
            </w:r>
          </w:p>
          <w:p w:rsidR="0022527F" w:rsidRPr="004F5E49" w:rsidRDefault="0022527F" w:rsidP="00CF35B3">
            <w:pPr>
              <w:jc w:val="center"/>
              <w:rPr>
                <w:rFonts w:ascii="Perpetua" w:hAnsi="Perpetu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Nati Stranieri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Totale nati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% nati stranieri sul totale nati</w:t>
            </w:r>
          </w:p>
        </w:tc>
      </w:tr>
      <w:tr w:rsidR="0022527F" w:rsidRPr="004F5E49" w:rsidTr="0022527F">
        <w:trPr>
          <w:trHeight w:val="255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6F5704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Aretina</w:t>
            </w:r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184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1.015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18,1%</w:t>
            </w:r>
          </w:p>
        </w:tc>
      </w:tr>
      <w:tr w:rsidR="0022527F" w:rsidRPr="004F5E49" w:rsidTr="0022527F">
        <w:trPr>
          <w:trHeight w:val="255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6F5704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Casentino</w:t>
            </w:r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62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247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25,1%</w:t>
            </w:r>
          </w:p>
        </w:tc>
      </w:tr>
      <w:tr w:rsidR="0022527F" w:rsidRPr="004F5E49" w:rsidTr="0022527F">
        <w:trPr>
          <w:trHeight w:val="255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6F5704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Valdarno</w:t>
            </w:r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158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750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21,1%</w:t>
            </w:r>
          </w:p>
        </w:tc>
      </w:tr>
      <w:tr w:rsidR="0022527F" w:rsidRPr="004F5E49" w:rsidTr="0022527F">
        <w:trPr>
          <w:trHeight w:val="255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6F5704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Valdichiana</w:t>
            </w:r>
            <w:proofErr w:type="spellEnd"/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76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442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17,2%</w:t>
            </w:r>
          </w:p>
        </w:tc>
      </w:tr>
      <w:tr w:rsidR="0022527F" w:rsidRPr="004F5E49" w:rsidTr="0022527F">
        <w:trPr>
          <w:trHeight w:val="255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6F5704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Valtiberina</w:t>
            </w:r>
            <w:proofErr w:type="spellEnd"/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35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198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17,7%</w:t>
            </w:r>
          </w:p>
        </w:tc>
      </w:tr>
      <w:tr w:rsidR="0022527F" w:rsidRPr="004F5E49" w:rsidTr="0022527F">
        <w:trPr>
          <w:trHeight w:val="255"/>
        </w:trPr>
        <w:tc>
          <w:tcPr>
            <w:tcW w:w="1619" w:type="pct"/>
            <w:shd w:val="clear" w:color="auto" w:fill="auto"/>
            <w:noWrap/>
            <w:hideMark/>
          </w:tcPr>
          <w:p w:rsidR="0022527F" w:rsidRPr="004F5E49" w:rsidRDefault="0022527F" w:rsidP="00CF35B3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 xml:space="preserve">Totale </w:t>
            </w:r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515</w:t>
            </w:r>
          </w:p>
        </w:tc>
        <w:tc>
          <w:tcPr>
            <w:tcW w:w="909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2.652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22527F" w:rsidRPr="004F5E49" w:rsidRDefault="0022527F" w:rsidP="006F5704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19,4%</w:t>
            </w:r>
          </w:p>
        </w:tc>
      </w:tr>
    </w:tbl>
    <w:p w:rsidR="008C7F94" w:rsidRPr="004F5E49" w:rsidRDefault="008C7F94" w:rsidP="009178C1">
      <w:pPr>
        <w:rPr>
          <w:rFonts w:ascii="Perpetua" w:hAnsi="Perpetua"/>
          <w:sz w:val="22"/>
          <w:szCs w:val="22"/>
        </w:rPr>
      </w:pPr>
    </w:p>
    <w:p w:rsidR="0022527F" w:rsidRPr="004F5E49" w:rsidRDefault="004F3206" w:rsidP="0022527F">
      <w:p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>Tab. 8</w:t>
      </w:r>
      <w:r w:rsidR="0022527F" w:rsidRPr="004F5E49">
        <w:rPr>
          <w:rFonts w:ascii="Perpetua" w:hAnsi="Perpetua"/>
          <w:sz w:val="20"/>
          <w:szCs w:val="20"/>
        </w:rPr>
        <w:t xml:space="preserve"> – Stranieri nati in Italia (G2) residenti in provincia di Arezzo al 1/1/2014 suddivisi per </w:t>
      </w:r>
      <w:proofErr w:type="spellStart"/>
      <w:r w:rsidR="0022527F" w:rsidRPr="004F5E49">
        <w:rPr>
          <w:rFonts w:ascii="Perpetua" w:hAnsi="Perpetua"/>
          <w:sz w:val="20"/>
          <w:szCs w:val="20"/>
        </w:rPr>
        <w:t>zona*</w:t>
      </w:r>
      <w:proofErr w:type="spellEnd"/>
    </w:p>
    <w:tbl>
      <w:tblPr>
        <w:tblW w:w="5000" w:type="pct"/>
        <w:shd w:val="clear" w:color="000000" w:fill="FFFFFF" w:themeFill="background1"/>
        <w:tblCellMar>
          <w:left w:w="70" w:type="dxa"/>
          <w:right w:w="70" w:type="dxa"/>
        </w:tblCellMar>
        <w:tblLook w:val="04A0"/>
      </w:tblPr>
      <w:tblGrid>
        <w:gridCol w:w="3348"/>
        <w:gridCol w:w="1457"/>
        <w:gridCol w:w="1457"/>
        <w:gridCol w:w="1758"/>
        <w:gridCol w:w="1758"/>
      </w:tblGrid>
      <w:tr w:rsidR="0022527F" w:rsidRPr="004F5E49" w:rsidTr="0022527F">
        <w:trPr>
          <w:trHeight w:val="25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bCs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color w:val="000000"/>
                <w:sz w:val="18"/>
                <w:szCs w:val="18"/>
              </w:rPr>
              <w:t>Zona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Totale</w:t>
            </w:r>
          </w:p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G2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G2 – </w:t>
            </w:r>
          </w:p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% di colonna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 xml:space="preserve">% su totale </w:t>
            </w:r>
          </w:p>
          <w:p w:rsidR="0022527F" w:rsidRPr="004F5E49" w:rsidRDefault="0022527F" w:rsidP="0022527F">
            <w:pPr>
              <w:jc w:val="center"/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stranieri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% G2 sul totale</w:t>
            </w:r>
          </w:p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stranieri</w:t>
            </w:r>
          </w:p>
        </w:tc>
      </w:tr>
      <w:tr w:rsidR="0022527F" w:rsidRPr="004F5E49" w:rsidTr="0022527F">
        <w:trPr>
          <w:trHeight w:val="255"/>
        </w:trPr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Aretina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2.123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38,2%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36,8%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14,4%</w:t>
            </w:r>
          </w:p>
        </w:tc>
      </w:tr>
      <w:tr w:rsidR="0022527F" w:rsidRPr="004F5E49" w:rsidTr="0022527F">
        <w:trPr>
          <w:trHeight w:val="255"/>
        </w:trPr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i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i/>
                <w:color w:val="000000"/>
                <w:sz w:val="18"/>
                <w:szCs w:val="18"/>
              </w:rPr>
              <w:t>Casentino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i/>
                <w:sz w:val="18"/>
                <w:szCs w:val="18"/>
              </w:rPr>
              <w:t>374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i/>
                <w:sz w:val="18"/>
                <w:szCs w:val="18"/>
              </w:rPr>
              <w:t>6,7%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i/>
                <w:sz w:val="18"/>
                <w:szCs w:val="18"/>
              </w:rPr>
              <w:t>11,3%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i/>
                <w:sz w:val="18"/>
                <w:szCs w:val="18"/>
              </w:rPr>
              <w:t>9,1%</w:t>
            </w:r>
          </w:p>
        </w:tc>
      </w:tr>
      <w:tr w:rsidR="0022527F" w:rsidRPr="004F5E49" w:rsidTr="0022527F">
        <w:trPr>
          <w:trHeight w:val="255"/>
        </w:trPr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Valdarno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1.449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26,0%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24,8%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14,7%</w:t>
            </w:r>
          </w:p>
        </w:tc>
      </w:tr>
      <w:tr w:rsidR="0022527F" w:rsidRPr="004F5E49" w:rsidTr="0022527F">
        <w:trPr>
          <w:trHeight w:val="255"/>
        </w:trPr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Valdichiana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811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14,6%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15,1%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13,5%</w:t>
            </w:r>
          </w:p>
        </w:tc>
      </w:tr>
      <w:tr w:rsidR="0022527F" w:rsidRPr="004F5E49" w:rsidTr="0022527F">
        <w:trPr>
          <w:trHeight w:val="255"/>
        </w:trPr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Valtiberina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414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7,4%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7,7%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13,5%</w:t>
            </w:r>
          </w:p>
        </w:tc>
      </w:tr>
      <w:tr w:rsidR="0022527F" w:rsidRPr="004F5E49" w:rsidTr="0022527F">
        <w:trPr>
          <w:trHeight w:val="25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 xml:space="preserve">Totale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5.171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93,0%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95,7%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2527F" w:rsidRPr="004F5E49" w:rsidRDefault="0022527F" w:rsidP="0022527F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13,5%</w:t>
            </w:r>
          </w:p>
        </w:tc>
      </w:tr>
    </w:tbl>
    <w:p w:rsidR="0022527F" w:rsidRPr="004F5E49" w:rsidRDefault="0022527F" w:rsidP="0022527F">
      <w:pPr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>* il dato del Casentino è parziale</w:t>
      </w:r>
    </w:p>
    <w:p w:rsidR="0022527F" w:rsidRPr="004F5E49" w:rsidRDefault="0022527F" w:rsidP="009178C1">
      <w:pPr>
        <w:rPr>
          <w:rFonts w:ascii="Perpetua" w:hAnsi="Perpetua"/>
          <w:sz w:val="22"/>
          <w:szCs w:val="22"/>
        </w:rPr>
      </w:pPr>
    </w:p>
    <w:p w:rsidR="00D75509" w:rsidRPr="004F5E49" w:rsidRDefault="00D75509" w:rsidP="00D75509">
      <w:pPr>
        <w:jc w:val="both"/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 xml:space="preserve">Tab. </w:t>
      </w:r>
      <w:r w:rsidR="004F3206">
        <w:rPr>
          <w:rFonts w:ascii="Perpetua" w:hAnsi="Perpetua"/>
          <w:sz w:val="20"/>
          <w:szCs w:val="20"/>
        </w:rPr>
        <w:t>9</w:t>
      </w:r>
      <w:r w:rsidRPr="004F5E49">
        <w:rPr>
          <w:rFonts w:ascii="Perpetua" w:hAnsi="Perpetua"/>
          <w:sz w:val="20"/>
          <w:szCs w:val="20"/>
        </w:rPr>
        <w:t xml:space="preserve"> </w:t>
      </w:r>
      <w:r w:rsidR="009B1E7F" w:rsidRPr="004F5E49">
        <w:rPr>
          <w:rFonts w:ascii="Perpetua" w:hAnsi="Perpetua"/>
          <w:sz w:val="20"/>
          <w:szCs w:val="20"/>
        </w:rPr>
        <w:t xml:space="preserve">– </w:t>
      </w:r>
      <w:r w:rsidRPr="004F5E49">
        <w:rPr>
          <w:rFonts w:ascii="Perpetua" w:hAnsi="Perpetua"/>
          <w:sz w:val="20"/>
          <w:szCs w:val="20"/>
        </w:rPr>
        <w:t>Stranieri nati in Italia (G2) residenti in provincia di Arezzo suddivisi per fasce d'età</w:t>
      </w:r>
      <w:r w:rsidR="009B1E7F" w:rsidRPr="004F5E49">
        <w:rPr>
          <w:rFonts w:ascii="Perpetua" w:hAnsi="Perpetua"/>
          <w:sz w:val="20"/>
          <w:szCs w:val="20"/>
        </w:rPr>
        <w:t xml:space="preserve"> (1/1/2014)</w:t>
      </w:r>
    </w:p>
    <w:tbl>
      <w:tblPr>
        <w:tblW w:w="351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34"/>
        <w:gridCol w:w="936"/>
        <w:gridCol w:w="844"/>
      </w:tblGrid>
      <w:tr w:rsidR="00D75509" w:rsidRPr="004F5E49" w:rsidTr="009B1E7F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2013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09" w:rsidRPr="004F5E49" w:rsidRDefault="009B1E7F" w:rsidP="00D75509">
            <w:pPr>
              <w:jc w:val="center"/>
              <w:rPr>
                <w:rFonts w:ascii="Perpetua" w:hAnsi="Perpetua"/>
                <w:bCs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color w:val="000000"/>
                <w:sz w:val="18"/>
                <w:szCs w:val="18"/>
              </w:rPr>
              <w:t>Fasce d’</w:t>
            </w:r>
            <w:r w:rsidR="00D75509" w:rsidRPr="004F5E49">
              <w:rPr>
                <w:rFonts w:ascii="Perpetua" w:hAnsi="Perpetua"/>
                <w:bCs/>
                <w:color w:val="000000"/>
                <w:sz w:val="18"/>
                <w:szCs w:val="18"/>
              </w:rPr>
              <w:t>età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bCs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color w:val="000000"/>
                <w:sz w:val="18"/>
                <w:szCs w:val="18"/>
              </w:rPr>
              <w:t>assoluti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2424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46,9%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5-9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1651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31,9%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15,7%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15-19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3,3%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20-24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0,6%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25-29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0,5%</w:t>
            </w:r>
          </w:p>
        </w:tc>
      </w:tr>
      <w:tr w:rsidR="00D75509" w:rsidRPr="004F5E49" w:rsidTr="009B1E7F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30 e oltre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1,1%</w:t>
            </w:r>
          </w:p>
        </w:tc>
      </w:tr>
      <w:tr w:rsidR="00D75509" w:rsidRPr="004F5E49" w:rsidTr="00D7550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color w:val="000000"/>
                <w:sz w:val="18"/>
                <w:szCs w:val="18"/>
              </w:rPr>
            </w:pPr>
            <w:r w:rsidRPr="004F5E49">
              <w:rPr>
                <w:rFonts w:ascii="Perpetua" w:hAnsi="Perpetua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5.171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09" w:rsidRPr="004F5E49" w:rsidRDefault="00D75509" w:rsidP="00D75509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100,0%</w:t>
            </w:r>
          </w:p>
        </w:tc>
      </w:tr>
    </w:tbl>
    <w:p w:rsidR="00D75509" w:rsidRPr="004F5E49" w:rsidRDefault="00D75509" w:rsidP="009178C1">
      <w:pPr>
        <w:rPr>
          <w:rFonts w:ascii="Perpetua" w:hAnsi="Perpetua"/>
          <w:sz w:val="22"/>
          <w:szCs w:val="22"/>
        </w:rPr>
      </w:pPr>
    </w:p>
    <w:p w:rsidR="004F3206" w:rsidRPr="004F3206" w:rsidRDefault="004F3206" w:rsidP="004F3206">
      <w:pPr>
        <w:jc w:val="both"/>
        <w:rPr>
          <w:rFonts w:ascii="Perpetua" w:hAnsi="Perpetua"/>
          <w:b/>
          <w:i/>
        </w:rPr>
      </w:pPr>
      <w:r w:rsidRPr="004F3206">
        <w:rPr>
          <w:rFonts w:ascii="Perpetua" w:hAnsi="Perpetua"/>
        </w:rPr>
        <w:t>Parimenti nel corso di un anno diminuiscono anche i nuclei familiari stranieri residenti</w:t>
      </w:r>
      <w:r w:rsidR="007B1173">
        <w:rPr>
          <w:rFonts w:ascii="Perpetua" w:hAnsi="Perpetua"/>
        </w:rPr>
        <w:t>. Dal confronto tra le tabelle 10 e 11 possiamo notare un ridimensionamento del numero delle famiglie con almeno uno straniero (- 2,4%), di cui quelle con intestatario straniero subiscono un calo del -5,3%. Trova conferma, dunque, quanto abbiamo già evidenziato circa lo spostamento verso altri territori, nazionale ed esteri, di interi nuclei familiari.</w:t>
      </w:r>
    </w:p>
    <w:p w:rsidR="004F3206" w:rsidRDefault="004F3206" w:rsidP="004F3206">
      <w:pPr>
        <w:rPr>
          <w:rFonts w:ascii="Perpetua" w:hAnsi="Perpetua"/>
          <w:sz w:val="22"/>
          <w:szCs w:val="22"/>
        </w:rPr>
      </w:pPr>
    </w:p>
    <w:p w:rsidR="004F3206" w:rsidRDefault="003230E1" w:rsidP="004F3206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Tab. 10 - </w:t>
      </w:r>
      <w:r w:rsidRPr="003230E1">
        <w:rPr>
          <w:rFonts w:ascii="Perpetua" w:hAnsi="Perpetua"/>
          <w:sz w:val="22"/>
          <w:szCs w:val="22"/>
        </w:rPr>
        <w:t>Nati stranieri e numero di famiglie con almeno 1 straniero al 31.12.2013 suddiviso per zona</w:t>
      </w:r>
    </w:p>
    <w:tbl>
      <w:tblPr>
        <w:tblW w:w="942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0"/>
        <w:gridCol w:w="1240"/>
        <w:gridCol w:w="1000"/>
        <w:gridCol w:w="1480"/>
        <w:gridCol w:w="300"/>
        <w:gridCol w:w="1720"/>
        <w:gridCol w:w="1900"/>
      </w:tblGrid>
      <w:tr w:rsidR="003230E1" w:rsidRPr="003230E1" w:rsidTr="003230E1">
        <w:trPr>
          <w:trHeight w:val="540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b/>
                <w:bCs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b/>
                <w:bCs/>
                <w:color w:val="000000"/>
                <w:sz w:val="18"/>
                <w:szCs w:val="18"/>
              </w:rPr>
              <w:t>Zona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Nati Stranieri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Totale nati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% Nati Stranieri sul totale nati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proofErr w:type="spellStart"/>
            <w:r w:rsidRPr="003230E1">
              <w:rPr>
                <w:rFonts w:ascii="Perpetua" w:hAnsi="Perpetua" w:cs="Arial"/>
                <w:sz w:val="18"/>
                <w:szCs w:val="18"/>
              </w:rPr>
              <w:t>N°</w:t>
            </w:r>
            <w:proofErr w:type="spellEnd"/>
            <w:r w:rsidRPr="003230E1">
              <w:rPr>
                <w:rFonts w:ascii="Perpetua" w:hAnsi="Perpetua" w:cs="Arial"/>
                <w:sz w:val="18"/>
                <w:szCs w:val="18"/>
              </w:rPr>
              <w:t xml:space="preserve"> di famiglie con almeno 1 straniero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di cui con intestatario straniero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Aretina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1015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18,1%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7019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5932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Casentino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247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25,1%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1946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1497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Valdarno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750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21,1%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4155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3181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proofErr w:type="spellStart"/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Valdichiana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442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17,2%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2694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2189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proofErr w:type="spellStart"/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Valtiberina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198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17,7%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1434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1152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auto" w:fill="auto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Totale complessivo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515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2652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19,4%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17248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13951</w:t>
            </w:r>
          </w:p>
        </w:tc>
      </w:tr>
    </w:tbl>
    <w:p w:rsidR="004F3206" w:rsidRDefault="004F3206" w:rsidP="004F3206">
      <w:pPr>
        <w:rPr>
          <w:rFonts w:ascii="Perpetua" w:hAnsi="Perpetua"/>
          <w:sz w:val="22"/>
          <w:szCs w:val="22"/>
        </w:rPr>
      </w:pPr>
    </w:p>
    <w:p w:rsidR="007B1173" w:rsidRDefault="007B1173" w:rsidP="004F3206">
      <w:pPr>
        <w:rPr>
          <w:rFonts w:ascii="Perpetua" w:hAnsi="Perpetua"/>
          <w:sz w:val="22"/>
          <w:szCs w:val="22"/>
        </w:rPr>
      </w:pPr>
    </w:p>
    <w:p w:rsidR="007B1173" w:rsidRDefault="007B1173" w:rsidP="004F3206">
      <w:pPr>
        <w:rPr>
          <w:rFonts w:ascii="Perpetua" w:hAnsi="Perpetua"/>
          <w:sz w:val="22"/>
          <w:szCs w:val="22"/>
        </w:rPr>
      </w:pPr>
    </w:p>
    <w:p w:rsidR="007B1173" w:rsidRDefault="007B1173" w:rsidP="004F3206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lastRenderedPageBreak/>
        <w:t xml:space="preserve">Tab. 11. </w:t>
      </w:r>
      <w:r w:rsidRPr="007B1173">
        <w:rPr>
          <w:rFonts w:ascii="Perpetua" w:hAnsi="Perpetua"/>
          <w:sz w:val="22"/>
          <w:szCs w:val="22"/>
        </w:rPr>
        <w:t xml:space="preserve">Nati stranieri e numero di famiglie con </w:t>
      </w:r>
      <w:r>
        <w:rPr>
          <w:rFonts w:ascii="Perpetua" w:hAnsi="Perpetua"/>
          <w:sz w:val="22"/>
          <w:szCs w:val="22"/>
        </w:rPr>
        <w:t xml:space="preserve">almeno 1 straniero </w:t>
      </w:r>
      <w:r w:rsidRPr="007B1173">
        <w:rPr>
          <w:rFonts w:ascii="Perpetua" w:hAnsi="Perpetua"/>
          <w:sz w:val="22"/>
          <w:szCs w:val="22"/>
          <w:u w:val="single"/>
        </w:rPr>
        <w:t>al 31.12.2012</w:t>
      </w:r>
      <w:r w:rsidRPr="007B1173">
        <w:rPr>
          <w:rFonts w:ascii="Perpetua" w:hAnsi="Perpetua"/>
          <w:sz w:val="22"/>
          <w:szCs w:val="22"/>
        </w:rPr>
        <w:t xml:space="preserve"> suddiviso per zona</w:t>
      </w:r>
    </w:p>
    <w:tbl>
      <w:tblPr>
        <w:tblW w:w="942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/>
      </w:tblPr>
      <w:tblGrid>
        <w:gridCol w:w="1780"/>
        <w:gridCol w:w="1240"/>
        <w:gridCol w:w="1000"/>
        <w:gridCol w:w="1480"/>
        <w:gridCol w:w="300"/>
        <w:gridCol w:w="1720"/>
        <w:gridCol w:w="1900"/>
      </w:tblGrid>
      <w:tr w:rsidR="003230E1" w:rsidRPr="003230E1" w:rsidTr="003230E1">
        <w:trPr>
          <w:trHeight w:val="510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b/>
                <w:bCs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b/>
                <w:bCs/>
                <w:color w:val="000000"/>
                <w:sz w:val="18"/>
                <w:szCs w:val="18"/>
              </w:rPr>
              <w:t>Zona</w:t>
            </w:r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Nati Stranieri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Totale nati</w:t>
            </w:r>
          </w:p>
        </w:tc>
        <w:tc>
          <w:tcPr>
            <w:tcW w:w="1480" w:type="dxa"/>
            <w:shd w:val="clear" w:color="000000" w:fill="FFFFFF" w:themeFill="background1"/>
            <w:vAlign w:val="center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% Nati Stranieri sul totale nati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vAlign w:val="center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proofErr w:type="spellStart"/>
            <w:r w:rsidRPr="003230E1">
              <w:rPr>
                <w:rFonts w:ascii="Perpetua" w:hAnsi="Perpetua" w:cs="Arial"/>
                <w:sz w:val="18"/>
                <w:szCs w:val="18"/>
              </w:rPr>
              <w:t>N°</w:t>
            </w:r>
            <w:proofErr w:type="spellEnd"/>
            <w:r w:rsidRPr="003230E1">
              <w:rPr>
                <w:rFonts w:ascii="Perpetua" w:hAnsi="Perpetua" w:cs="Arial"/>
                <w:sz w:val="18"/>
                <w:szCs w:val="18"/>
              </w:rPr>
              <w:t xml:space="preserve"> di famiglie con almeno 1 straniero</w:t>
            </w:r>
          </w:p>
        </w:tc>
        <w:tc>
          <w:tcPr>
            <w:tcW w:w="1900" w:type="dxa"/>
            <w:shd w:val="clear" w:color="000000" w:fill="FFFFFF" w:themeFill="background1"/>
            <w:vAlign w:val="center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di cui con intestatario straniero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Aretina</w:t>
            </w:r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218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1103</w:t>
            </w:r>
          </w:p>
        </w:tc>
        <w:tc>
          <w:tcPr>
            <w:tcW w:w="148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19,8%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7960</w:t>
            </w:r>
          </w:p>
        </w:tc>
        <w:tc>
          <w:tcPr>
            <w:tcW w:w="190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6886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Casentino</w:t>
            </w:r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74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297</w:t>
            </w:r>
          </w:p>
        </w:tc>
        <w:tc>
          <w:tcPr>
            <w:tcW w:w="148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24,9%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1920</w:t>
            </w:r>
          </w:p>
        </w:tc>
        <w:tc>
          <w:tcPr>
            <w:tcW w:w="190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1640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Valdarno</w:t>
            </w:r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162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827</w:t>
            </w:r>
          </w:p>
        </w:tc>
        <w:tc>
          <w:tcPr>
            <w:tcW w:w="148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19,6%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4187</w:t>
            </w:r>
          </w:p>
        </w:tc>
        <w:tc>
          <w:tcPr>
            <w:tcW w:w="190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3230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proofErr w:type="spellStart"/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Valdichiana</w:t>
            </w:r>
            <w:proofErr w:type="spellEnd"/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83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459</w:t>
            </w:r>
          </w:p>
        </w:tc>
        <w:tc>
          <w:tcPr>
            <w:tcW w:w="148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18,1%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2182</w:t>
            </w:r>
          </w:p>
        </w:tc>
        <w:tc>
          <w:tcPr>
            <w:tcW w:w="190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1823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proofErr w:type="spellStart"/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Valtiberina</w:t>
            </w:r>
            <w:proofErr w:type="spellEnd"/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42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208</w:t>
            </w:r>
          </w:p>
        </w:tc>
        <w:tc>
          <w:tcPr>
            <w:tcW w:w="148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20,2%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1415</w:t>
            </w:r>
          </w:p>
        </w:tc>
        <w:tc>
          <w:tcPr>
            <w:tcW w:w="190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1155</w:t>
            </w:r>
          </w:p>
        </w:tc>
      </w:tr>
      <w:tr w:rsidR="003230E1" w:rsidRPr="003230E1" w:rsidTr="003230E1">
        <w:trPr>
          <w:trHeight w:val="255"/>
        </w:trPr>
        <w:tc>
          <w:tcPr>
            <w:tcW w:w="178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3230E1">
              <w:rPr>
                <w:rFonts w:ascii="Perpetua" w:hAnsi="Perpetua" w:cs="Arial"/>
                <w:color w:val="000000"/>
                <w:sz w:val="18"/>
                <w:szCs w:val="18"/>
              </w:rPr>
              <w:t>Totale complessivo</w:t>
            </w:r>
          </w:p>
        </w:tc>
        <w:tc>
          <w:tcPr>
            <w:tcW w:w="124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579</w:t>
            </w:r>
          </w:p>
        </w:tc>
        <w:tc>
          <w:tcPr>
            <w:tcW w:w="10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2894</w:t>
            </w:r>
          </w:p>
        </w:tc>
        <w:tc>
          <w:tcPr>
            <w:tcW w:w="148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20,0%</w:t>
            </w:r>
          </w:p>
        </w:tc>
        <w:tc>
          <w:tcPr>
            <w:tcW w:w="300" w:type="dxa"/>
            <w:shd w:val="clear" w:color="000000" w:fill="FFFFFF" w:themeFill="background1"/>
            <w:noWrap/>
            <w:vAlign w:val="bottom"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17664</w:t>
            </w:r>
          </w:p>
        </w:tc>
        <w:tc>
          <w:tcPr>
            <w:tcW w:w="1900" w:type="dxa"/>
            <w:shd w:val="clear" w:color="000000" w:fill="FFFFFF" w:themeFill="background1"/>
            <w:noWrap/>
            <w:hideMark/>
          </w:tcPr>
          <w:p w:rsidR="003230E1" w:rsidRPr="003230E1" w:rsidRDefault="003230E1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3230E1">
              <w:rPr>
                <w:rFonts w:ascii="Perpetua" w:hAnsi="Perpetua" w:cs="Arial"/>
                <w:sz w:val="18"/>
                <w:szCs w:val="18"/>
              </w:rPr>
              <w:t>14734</w:t>
            </w:r>
          </w:p>
        </w:tc>
      </w:tr>
    </w:tbl>
    <w:p w:rsidR="003230E1" w:rsidRDefault="003230E1" w:rsidP="004F3206">
      <w:pPr>
        <w:rPr>
          <w:rFonts w:ascii="Perpetua" w:hAnsi="Perpetua"/>
          <w:sz w:val="22"/>
          <w:szCs w:val="22"/>
        </w:rPr>
      </w:pPr>
    </w:p>
    <w:p w:rsidR="003230E1" w:rsidRDefault="003230E1" w:rsidP="004F3206">
      <w:pPr>
        <w:rPr>
          <w:rFonts w:ascii="Perpetua" w:hAnsi="Perpetua"/>
          <w:sz w:val="22"/>
          <w:szCs w:val="22"/>
        </w:rPr>
      </w:pPr>
    </w:p>
    <w:p w:rsidR="009178C1" w:rsidRPr="004F5E49" w:rsidRDefault="009178C1">
      <w:pPr>
        <w:rPr>
          <w:rFonts w:ascii="Perpetua" w:hAnsi="Perpetua"/>
        </w:rPr>
      </w:pPr>
    </w:p>
    <w:p w:rsidR="009178C1" w:rsidRPr="004F5E49" w:rsidRDefault="009178C1">
      <w:pPr>
        <w:rPr>
          <w:rFonts w:ascii="Perpetua" w:hAnsi="Perpetua"/>
        </w:rPr>
      </w:pPr>
    </w:p>
    <w:p w:rsidR="008D252F" w:rsidRPr="004F5E49" w:rsidRDefault="008D252F">
      <w:pPr>
        <w:rPr>
          <w:rFonts w:ascii="Perpetua" w:hAnsi="Perpetua"/>
        </w:rPr>
      </w:pPr>
    </w:p>
    <w:p w:rsidR="008D252F" w:rsidRPr="004F5E49" w:rsidRDefault="008D252F">
      <w:pPr>
        <w:rPr>
          <w:rFonts w:ascii="Perpetua" w:hAnsi="Perpetua"/>
        </w:rPr>
      </w:pPr>
    </w:p>
    <w:p w:rsidR="008D252F" w:rsidRPr="004F5E49" w:rsidRDefault="008D252F">
      <w:pPr>
        <w:rPr>
          <w:rFonts w:ascii="Perpetua" w:hAnsi="Perpetua"/>
        </w:rPr>
      </w:pPr>
    </w:p>
    <w:p w:rsidR="008D252F" w:rsidRPr="004F5E49" w:rsidRDefault="008D252F">
      <w:pPr>
        <w:rPr>
          <w:rFonts w:ascii="Perpetua" w:hAnsi="Perpetua"/>
        </w:rPr>
      </w:pPr>
    </w:p>
    <w:p w:rsidR="008D252F" w:rsidRPr="004F3206" w:rsidRDefault="00027613" w:rsidP="004F3206">
      <w:pPr>
        <w:jc w:val="center"/>
        <w:rPr>
          <w:rFonts w:ascii="Perpetua" w:hAnsi="Perpetua"/>
          <w:b/>
        </w:rPr>
      </w:pPr>
      <w:r w:rsidRPr="004F3206">
        <w:rPr>
          <w:rFonts w:ascii="Perpetua" w:hAnsi="Perpetua"/>
          <w:b/>
        </w:rPr>
        <w:br w:type="column"/>
      </w:r>
      <w:r w:rsidRPr="004F3206">
        <w:rPr>
          <w:rFonts w:ascii="Perpetua" w:hAnsi="Perpetua"/>
          <w:b/>
        </w:rPr>
        <w:lastRenderedPageBreak/>
        <w:t>TABELLE ALLEGATE</w:t>
      </w:r>
    </w:p>
    <w:p w:rsidR="00EF5DB2" w:rsidRPr="004F5E49" w:rsidRDefault="00EF5DB2">
      <w:pPr>
        <w:rPr>
          <w:rFonts w:ascii="Perpetua" w:hAnsi="Perpetua"/>
        </w:rPr>
      </w:pPr>
    </w:p>
    <w:p w:rsidR="00EF5DB2" w:rsidRPr="004F5E49" w:rsidRDefault="00EF5DB2" w:rsidP="00310DF9">
      <w:pPr>
        <w:rPr>
          <w:rFonts w:ascii="Perpetua" w:hAnsi="Perpetua"/>
          <w:i/>
          <w:sz w:val="20"/>
          <w:szCs w:val="20"/>
        </w:rPr>
      </w:pPr>
    </w:p>
    <w:p w:rsidR="00310DF9" w:rsidRPr="004F5E49" w:rsidRDefault="00310DF9" w:rsidP="00310DF9">
      <w:pPr>
        <w:rPr>
          <w:rFonts w:ascii="Perpetua" w:hAnsi="Perpetua"/>
          <w:sz w:val="20"/>
          <w:szCs w:val="20"/>
        </w:rPr>
      </w:pPr>
      <w:r w:rsidRPr="004F5E49">
        <w:rPr>
          <w:rFonts w:ascii="Perpetua" w:hAnsi="Perpetua"/>
          <w:sz w:val="20"/>
          <w:szCs w:val="20"/>
        </w:rPr>
        <w:t xml:space="preserve">Tabella riepilogativa </w:t>
      </w:r>
      <w:r w:rsidR="004F3206">
        <w:rPr>
          <w:rFonts w:ascii="Perpetua" w:hAnsi="Perpetua"/>
          <w:sz w:val="20"/>
          <w:szCs w:val="20"/>
        </w:rPr>
        <w:t>1. Pr</w:t>
      </w:r>
      <w:r w:rsidRPr="004F5E49">
        <w:rPr>
          <w:rFonts w:ascii="Perpetua" w:hAnsi="Perpetua"/>
          <w:sz w:val="20"/>
          <w:szCs w:val="20"/>
        </w:rPr>
        <w:t>esenze stranieri per zona socio sanitaria e comune di residenza (1/1/2014)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60"/>
        <w:gridCol w:w="1897"/>
        <w:gridCol w:w="1897"/>
        <w:gridCol w:w="1463"/>
        <w:gridCol w:w="1461"/>
      </w:tblGrid>
      <w:tr w:rsidR="00310DF9" w:rsidRPr="004F5E49" w:rsidTr="008F7EE8">
        <w:trPr>
          <w:trHeight w:val="495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COMUNI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EE8" w:rsidRPr="004F5E49" w:rsidRDefault="00310DF9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 xml:space="preserve">Stranieri </w:t>
            </w:r>
          </w:p>
          <w:p w:rsidR="00310DF9" w:rsidRPr="004F5E49" w:rsidRDefault="00310DF9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residenti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7EE8" w:rsidRPr="004F5E49" w:rsidRDefault="00310DF9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 xml:space="preserve">Totale </w:t>
            </w:r>
          </w:p>
          <w:p w:rsidR="00310DF9" w:rsidRPr="004F5E49" w:rsidRDefault="00310DF9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popolazione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Cs/>
                <w:sz w:val="18"/>
                <w:szCs w:val="18"/>
              </w:rPr>
              <w:t>% Stranieri su residenti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7EE8" w:rsidRPr="004F5E49" w:rsidRDefault="00310DF9" w:rsidP="000D613C">
            <w:pPr>
              <w:jc w:val="center"/>
              <w:rPr>
                <w:rFonts w:ascii="Perpetua" w:hAnsi="Perpetua"/>
                <w:iCs/>
                <w:sz w:val="18"/>
                <w:szCs w:val="18"/>
              </w:rPr>
            </w:pPr>
            <w:r w:rsidRPr="004F5E49">
              <w:rPr>
                <w:rFonts w:ascii="Perpetua" w:hAnsi="Perpetua"/>
                <w:iCs/>
                <w:sz w:val="18"/>
                <w:szCs w:val="18"/>
              </w:rPr>
              <w:t>Incr</w:t>
            </w:r>
            <w:r w:rsidR="008F7EE8" w:rsidRPr="004F5E49">
              <w:rPr>
                <w:rFonts w:ascii="Perpetua" w:hAnsi="Perpetua"/>
                <w:iCs/>
                <w:sz w:val="18"/>
                <w:szCs w:val="18"/>
              </w:rPr>
              <w:t xml:space="preserve">emento </w:t>
            </w:r>
            <w:r w:rsidRPr="004F5E49">
              <w:rPr>
                <w:rFonts w:ascii="Perpetua" w:hAnsi="Perpetua"/>
                <w:iCs/>
                <w:sz w:val="18"/>
                <w:szCs w:val="18"/>
              </w:rPr>
              <w:t xml:space="preserve">% </w:t>
            </w:r>
          </w:p>
          <w:p w:rsidR="00310DF9" w:rsidRPr="004F5E49" w:rsidRDefault="00310DF9" w:rsidP="000D613C">
            <w:pPr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4F5E49">
              <w:rPr>
                <w:rFonts w:ascii="Perpetua" w:hAnsi="Perpetua"/>
                <w:iCs/>
                <w:sz w:val="18"/>
                <w:szCs w:val="18"/>
              </w:rPr>
              <w:t>2012/2013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Bibbiena</w:t>
            </w:r>
            <w:proofErr w:type="spellEnd"/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1.991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12.512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15,9%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-8,4%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C.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Focognano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317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3.224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9,8%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-8,1%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C.S. Niccolò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269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2.764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9,7%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11,6%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Chitignano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10,5%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-14,4%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Chiusi della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Verna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2.052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7,6%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-7,7%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Montemignaio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558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7,2%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2,6%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Ortignano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883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4,6%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-24,1%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Poppi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6.265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11,6%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-7,0%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Pratovecchio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399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3.092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12,9%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8,4%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Stia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2.856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11,5%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-2,7%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Talla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1.109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10,0%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-17,2%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 xml:space="preserve">AREA CASENTINO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4.472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36.219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12,3%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i/>
                <w:sz w:val="18"/>
                <w:szCs w:val="18"/>
              </w:rPr>
              <w:t>-5,9%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Bucine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10.103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9,0%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-5,7%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Castelfranco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160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3.098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5,2%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5,3%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Cavriglia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478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9.633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5,0%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1,3%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Laterina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328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3.516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9,3%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-0,6%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Loro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Ciuffenna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5.833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6,9%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0,3%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Montevarchi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3.824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24.502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15,6%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-3,3%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Pergine</w:t>
            </w:r>
            <w:proofErr w:type="spellEnd"/>
            <w:r w:rsidRPr="004F5E49">
              <w:rPr>
                <w:rFonts w:ascii="Perpetua" w:hAnsi="Perpetua"/>
                <w:sz w:val="18"/>
                <w:szCs w:val="18"/>
              </w:rPr>
              <w:t xml:space="preserve">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V.no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198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6,2%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-7,0%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Piandiscò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332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6.526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5,1%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2,5%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S. Giovanni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V.no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2.015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17.159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11,7%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-5,7%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Terranuova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966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12.401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7,8%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-2,9%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 xml:space="preserve">AREA VALDARNO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9.610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95.971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10,0%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i/>
                <w:sz w:val="18"/>
                <w:szCs w:val="18"/>
              </w:rPr>
              <w:t>-3,3%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Castiglion</w:t>
            </w:r>
            <w:proofErr w:type="spellEnd"/>
            <w:r w:rsidRPr="004F5E49">
              <w:rPr>
                <w:rFonts w:ascii="Perpetua" w:hAnsi="Perpetua"/>
                <w:sz w:val="18"/>
                <w:szCs w:val="18"/>
              </w:rPr>
              <w:t xml:space="preserve"> Fiorentino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1.544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13.386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11,5%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-8,9%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Cortona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2.426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22.607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10,7%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-2,9%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Foiano Della Chiana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1.471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9.552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15,4%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-8,2%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Lucignano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253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3.631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7,0%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-19,2%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Marciano della Chiana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290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3.462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8,4%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-12,9%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 xml:space="preserve">AREA VALDICHIANA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5.984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52.638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11,4%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i/>
                <w:sz w:val="18"/>
                <w:szCs w:val="18"/>
              </w:rPr>
              <w:t>-7,1%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Anghiari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404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5.641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7,2%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-8,0%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Badia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Tedalda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1.072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7,6%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-8,9%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Caprese Michelangelo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136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1.491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9,1%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1,5%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Monterchi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124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1.778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7,0%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-3,1%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P. S. Stefano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346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3.184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10,9%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4,2%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Sansepolcro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1.814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16.109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11,3%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-1,0%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Sestino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145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1.401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10,3%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-8,2%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 xml:space="preserve">AREA VALTIBERINA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3.051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30.676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9,9%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i/>
                <w:sz w:val="18"/>
                <w:szCs w:val="18"/>
              </w:rPr>
              <w:t>-2,0%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Arezzo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11.674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99.232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11,8%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-11,2%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Capolona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481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5.429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8,9%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-4,9%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Castiglion</w:t>
            </w:r>
            <w:proofErr w:type="spellEnd"/>
            <w:r w:rsidRPr="004F5E49">
              <w:rPr>
                <w:rFonts w:ascii="Perpetua" w:hAnsi="Perpetua"/>
                <w:sz w:val="18"/>
                <w:szCs w:val="18"/>
              </w:rPr>
              <w:t xml:space="preserve">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Fibocchi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251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2.244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11,2%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2,4%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Civitella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770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9.091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8,5%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-3,4%</w:t>
            </w:r>
          </w:p>
        </w:tc>
      </w:tr>
      <w:tr w:rsidR="00310DF9" w:rsidRPr="004F5E49" w:rsidTr="008F7EE8">
        <w:trPr>
          <w:trHeight w:val="255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 xml:space="preserve">Monte </w:t>
            </w:r>
            <w:proofErr w:type="spellStart"/>
            <w:r w:rsidRPr="004F5E49">
              <w:rPr>
                <w:rFonts w:ascii="Perpetua" w:hAnsi="Perpetua"/>
                <w:sz w:val="18"/>
                <w:szCs w:val="18"/>
              </w:rPr>
              <w:t>S.Savino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748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8.825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8,5%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-0,3%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Subbiano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557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6.336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8,8%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 w:rsidRPr="004F5E49">
              <w:rPr>
                <w:rFonts w:ascii="Perpetua" w:hAnsi="Perpetua"/>
                <w:sz w:val="18"/>
                <w:szCs w:val="18"/>
              </w:rPr>
              <w:t>-12,4%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 xml:space="preserve">AREA ARETINA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14.481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131.157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i/>
                <w:sz w:val="18"/>
                <w:szCs w:val="18"/>
              </w:rPr>
              <w:t>11,0%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i/>
                <w:sz w:val="18"/>
                <w:szCs w:val="18"/>
              </w:rPr>
              <w:t>-9,9%</w:t>
            </w:r>
          </w:p>
        </w:tc>
      </w:tr>
      <w:tr w:rsidR="00310DF9" w:rsidRPr="004F5E49" w:rsidTr="008F7EE8">
        <w:trPr>
          <w:trHeight w:val="270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PROVINCIA AREZZO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37.598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346.661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bCs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bCs/>
                <w:sz w:val="18"/>
                <w:szCs w:val="18"/>
              </w:rPr>
              <w:t>10,8%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0DF9" w:rsidRPr="004F5E49" w:rsidRDefault="00310DF9" w:rsidP="000D613C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 w:rsidRPr="004F5E49">
              <w:rPr>
                <w:rFonts w:ascii="Perpetua" w:hAnsi="Perpetua"/>
                <w:b/>
                <w:sz w:val="18"/>
                <w:szCs w:val="18"/>
              </w:rPr>
              <w:t>-6,8%</w:t>
            </w:r>
          </w:p>
        </w:tc>
      </w:tr>
    </w:tbl>
    <w:p w:rsidR="00310DF9" w:rsidRDefault="00310DF9" w:rsidP="00310DF9">
      <w:pPr>
        <w:rPr>
          <w:rFonts w:ascii="Perpetua" w:hAnsi="Perpetua"/>
        </w:rPr>
      </w:pPr>
    </w:p>
    <w:p w:rsidR="0012034E" w:rsidRPr="004F3206" w:rsidRDefault="0012034E" w:rsidP="00310DF9">
      <w:pPr>
        <w:rPr>
          <w:rFonts w:ascii="Perpetua" w:hAnsi="Perpetua"/>
          <w:sz w:val="20"/>
          <w:szCs w:val="20"/>
        </w:rPr>
      </w:pPr>
      <w:r w:rsidRPr="004F3206">
        <w:rPr>
          <w:rFonts w:ascii="Perpetua" w:hAnsi="Perpetua"/>
          <w:sz w:val="20"/>
          <w:szCs w:val="20"/>
        </w:rPr>
        <w:lastRenderedPageBreak/>
        <w:t>Tabella riepilogativa</w:t>
      </w:r>
      <w:r w:rsidR="004F3206" w:rsidRPr="004F3206">
        <w:rPr>
          <w:rFonts w:ascii="Perpetua" w:hAnsi="Perpetua"/>
          <w:sz w:val="20"/>
          <w:szCs w:val="20"/>
        </w:rPr>
        <w:t xml:space="preserve"> 2. D</w:t>
      </w:r>
      <w:r w:rsidRPr="004F3206">
        <w:rPr>
          <w:rFonts w:ascii="Perpetua" w:hAnsi="Perpetua"/>
          <w:sz w:val="20"/>
          <w:szCs w:val="20"/>
        </w:rPr>
        <w:t>istribuzione zonale, serie storica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44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715"/>
        <w:gridCol w:w="146"/>
        <w:gridCol w:w="715"/>
      </w:tblGrid>
      <w:tr w:rsidR="0012034E" w:rsidRPr="0012034E" w:rsidTr="0012034E">
        <w:trPr>
          <w:trHeight w:val="525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COMUNI/ZONE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2009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2010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2011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2012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2013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i/>
                <w:iCs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i/>
                <w:iCs/>
                <w:sz w:val="15"/>
                <w:szCs w:val="15"/>
              </w:rPr>
              <w:t>Incr</w:t>
            </w:r>
            <w:proofErr w:type="spellEnd"/>
            <w:r w:rsidRPr="0012034E">
              <w:rPr>
                <w:rFonts w:ascii="Perpetua" w:hAnsi="Perpetua" w:cs="Arial"/>
                <w:i/>
                <w:iCs/>
                <w:sz w:val="15"/>
                <w:szCs w:val="15"/>
              </w:rPr>
              <w:t xml:space="preserve"> % 2012/2013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i/>
                <w:iCs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i/>
                <w:iCs/>
                <w:sz w:val="15"/>
                <w:szCs w:val="15"/>
              </w:rPr>
              <w:t>Incr</w:t>
            </w:r>
            <w:proofErr w:type="spellEnd"/>
            <w:r w:rsidRPr="0012034E">
              <w:rPr>
                <w:rFonts w:ascii="Perpetua" w:hAnsi="Perpetua" w:cs="Arial"/>
                <w:i/>
                <w:iCs/>
                <w:sz w:val="15"/>
                <w:szCs w:val="15"/>
              </w:rPr>
              <w:t xml:space="preserve"> % 2009/2013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Bibbiena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1.295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1.369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1.781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1.967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2.015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2.174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1.991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-8,4%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-1,2%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 xml:space="preserve">C.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Focognano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317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-8,1%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-7,6%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C.S. Niccolò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269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11,6%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20,1%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Chitignano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-14,4%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-7,8%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 xml:space="preserve">Chiusi della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Verna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-7,7%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-7,2%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Montemignaio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40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2,6%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-9,1%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Ortignano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-24,1%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-29,3%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Poppi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781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726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-7,0%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-9,6%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Pratovecchio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368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399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8,4%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5,6%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Stia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-2,7%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0,9%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Talla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-17,2%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-6,7%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Casentino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1.692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2.036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2.266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2.753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3.069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3.333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3.431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4.154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4.485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4.579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4.715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4.776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4.752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4.472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-5,9%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-2,3%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Bucine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964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909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-5,7%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1,9%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Castelfranco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160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5,3%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8,1%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Cavriglia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472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478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1,3%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-5,3%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Laterina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-0,6%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9,0%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 xml:space="preserve">Loro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Ciuffenna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400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0,3%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5,0%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Montevarchi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1.087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1.596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1.791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1.942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2.386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2.833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3.098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3.372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3.618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3.955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3.824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-3,3%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23,4%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Pergine</w:t>
            </w:r>
            <w:proofErr w:type="spellEnd"/>
            <w:r w:rsidRPr="0012034E">
              <w:rPr>
                <w:rFonts w:ascii="Perpetua" w:hAnsi="Perpetua" w:cs="Arial"/>
                <w:sz w:val="15"/>
                <w:szCs w:val="15"/>
              </w:rPr>
              <w:t xml:space="preserve">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V.no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198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-7,0%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4,8%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Piandiscò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2,5%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19,4%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 xml:space="preserve">S. Giovanni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V.no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1.008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1.252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1.481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1.662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1.794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1.983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2.136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2.015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-5,7%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21,2%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Terranuova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389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451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549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622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995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966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11,7%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Valdarno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2.316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2.686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3.177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3.845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4.621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5.103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5.468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6.569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7.599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8.319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8.936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9.472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9.940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9.610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-3,3%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15,5%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Castiglion</w:t>
            </w:r>
            <w:proofErr w:type="spellEnd"/>
            <w:r w:rsidRPr="0012034E">
              <w:rPr>
                <w:rFonts w:ascii="Perpetua" w:hAnsi="Perpetua" w:cs="Arial"/>
                <w:sz w:val="15"/>
                <w:szCs w:val="15"/>
              </w:rPr>
              <w:t xml:space="preserve"> Fiorentino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1.054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1.333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1.487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1.538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1.611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1.729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1.695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1.544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0,4%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Cortona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1.124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1.308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1.491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1.609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1.984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2.248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2.396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2.443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2.602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2.499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2.426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1,3%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Foiano Della Chiana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1.047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1.328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1.439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1.534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1.603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1.471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-8,2%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10,8%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Lucignano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253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-19,2%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-13,1%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Marciano della Chiana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280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290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-12,9%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12,8%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Valdichiana</w:t>
            </w:r>
            <w:proofErr w:type="spellEnd"/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1.723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1.988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2.093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2.667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3.139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3.546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3.805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4.837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5.446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5.810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6.086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6.481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6.443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5.984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-7,1%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3,0%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Anghiari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439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404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-8,0%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-8,0%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 xml:space="preserve">Badia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Tedalda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82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17,1%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Caprese Michelangelo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1,5%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-13,9%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Monterchi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-3,1%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-10,1%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P. S. Stefano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332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346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4,2%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8,5%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Sansepolcro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1.316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1.517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1.661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1.774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1.874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1.832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1.814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-1,0%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9,2%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Sestino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145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-8,2%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-14,7%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Valtiberina</w:t>
            </w:r>
            <w:proofErr w:type="spellEnd"/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950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1.076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1.156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1.465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1.680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1.899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2.052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2.390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2.703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2.955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3.121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3.211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3.113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/>
                <w:bCs/>
                <w:sz w:val="15"/>
                <w:szCs w:val="15"/>
              </w:rPr>
              <w:t>3.051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-2,0%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3,2%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Arezzo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4.135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4.530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3.893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5.228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6.130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6.786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7.354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8.969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10.246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11.130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11.943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12.534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13.144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11.674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-11,2%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4,9%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Capolona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506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481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-4,9%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6,9%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Castiglion</w:t>
            </w:r>
            <w:proofErr w:type="spellEnd"/>
            <w:r w:rsidRPr="0012034E">
              <w:rPr>
                <w:rFonts w:ascii="Perpetua" w:hAnsi="Perpetua" w:cs="Arial"/>
                <w:sz w:val="15"/>
                <w:szCs w:val="15"/>
              </w:rPr>
              <w:t xml:space="preserve">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Fibocchi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251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2,4%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7,3%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Civitella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797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770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-3,4%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11,6%</w:t>
            </w:r>
          </w:p>
        </w:tc>
      </w:tr>
      <w:tr w:rsidR="0012034E" w:rsidRPr="0012034E" w:rsidTr="0012034E">
        <w:trPr>
          <w:trHeight w:val="25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 xml:space="preserve">Monte </w:t>
            </w:r>
            <w:proofErr w:type="spellStart"/>
            <w:r w:rsidRPr="0012034E">
              <w:rPr>
                <w:rFonts w:ascii="Perpetua" w:hAnsi="Perpetua" w:cs="Arial"/>
                <w:sz w:val="15"/>
                <w:szCs w:val="15"/>
              </w:rPr>
              <w:t>S.Savino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185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748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-0,3%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7,3%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Subbiano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250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271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354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368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574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652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669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636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557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-12,4%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-14,6%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Aretina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4.945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5.497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4.955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6.592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7.754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8.645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9.295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11.328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12.839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13.853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14.833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15.540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16.078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14.481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-9,9%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4,5%</w:t>
            </w:r>
          </w:p>
        </w:tc>
      </w:tr>
      <w:tr w:rsidR="0012034E" w:rsidRPr="0012034E" w:rsidTr="0012034E">
        <w:trPr>
          <w:trHeight w:val="270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Prov. Arezzo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11.626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13.283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13.647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17.322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20.263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22.526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24.051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29.278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33.072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35.516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37.691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39.480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40.326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bCs/>
                <w:sz w:val="15"/>
                <w:szCs w:val="15"/>
              </w:rPr>
            </w:pPr>
            <w:r w:rsidRPr="0012034E">
              <w:rPr>
                <w:rFonts w:ascii="Perpetua" w:hAnsi="Perpetua" w:cs="Arial"/>
                <w:bCs/>
                <w:sz w:val="15"/>
                <w:szCs w:val="15"/>
              </w:rPr>
              <w:t>37.598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-6,8%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rPr>
                <w:rFonts w:ascii="Perpetua" w:hAnsi="Perpetua" w:cs="Arial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34E" w:rsidRPr="0012034E" w:rsidRDefault="0012034E" w:rsidP="0012034E">
            <w:pPr>
              <w:jc w:val="center"/>
              <w:rPr>
                <w:rFonts w:ascii="Perpetua" w:hAnsi="Perpetua" w:cs="Arial"/>
                <w:sz w:val="15"/>
                <w:szCs w:val="15"/>
              </w:rPr>
            </w:pPr>
            <w:r w:rsidRPr="0012034E">
              <w:rPr>
                <w:rFonts w:ascii="Perpetua" w:hAnsi="Perpetua" w:cs="Arial"/>
                <w:sz w:val="15"/>
                <w:szCs w:val="15"/>
              </w:rPr>
              <w:t>5,9%</w:t>
            </w:r>
          </w:p>
        </w:tc>
      </w:tr>
    </w:tbl>
    <w:p w:rsidR="0012034E" w:rsidRDefault="0012034E" w:rsidP="00310DF9">
      <w:pPr>
        <w:rPr>
          <w:rFonts w:ascii="Perpetua" w:hAnsi="Perpetua"/>
        </w:rPr>
      </w:pPr>
    </w:p>
    <w:p w:rsidR="0012034E" w:rsidRDefault="0012034E" w:rsidP="00310DF9">
      <w:pPr>
        <w:rPr>
          <w:rFonts w:ascii="Perpetua" w:hAnsi="Perpetua"/>
        </w:rPr>
      </w:pPr>
    </w:p>
    <w:p w:rsidR="00EF5DB2" w:rsidRPr="004F3206" w:rsidRDefault="001015E7" w:rsidP="001015E7">
      <w:pPr>
        <w:jc w:val="both"/>
        <w:rPr>
          <w:rFonts w:ascii="Perpetua" w:hAnsi="Perpetua"/>
          <w:sz w:val="20"/>
          <w:szCs w:val="20"/>
        </w:rPr>
      </w:pPr>
      <w:r w:rsidRPr="004F3206">
        <w:rPr>
          <w:rFonts w:ascii="Perpetua" w:hAnsi="Perpetua"/>
          <w:sz w:val="20"/>
          <w:szCs w:val="20"/>
        </w:rPr>
        <w:lastRenderedPageBreak/>
        <w:t xml:space="preserve">Tabella </w:t>
      </w:r>
      <w:r w:rsidR="004F3206" w:rsidRPr="004F3206">
        <w:rPr>
          <w:rFonts w:ascii="Perpetua" w:hAnsi="Perpetua"/>
          <w:sz w:val="20"/>
          <w:szCs w:val="20"/>
        </w:rPr>
        <w:t xml:space="preserve">riepilogativa 3. </w:t>
      </w:r>
      <w:r w:rsidRPr="004F3206">
        <w:rPr>
          <w:rFonts w:ascii="Perpetua" w:hAnsi="Perpetua"/>
          <w:sz w:val="20"/>
          <w:szCs w:val="20"/>
        </w:rPr>
        <w:t>Prime nazionalità per numero di presenze – incrementi annuali percentuali. Periodo 2008- 2013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0"/>
        <w:gridCol w:w="849"/>
        <w:gridCol w:w="849"/>
        <w:gridCol w:w="850"/>
        <w:gridCol w:w="850"/>
        <w:gridCol w:w="1002"/>
        <w:gridCol w:w="1002"/>
        <w:gridCol w:w="850"/>
        <w:gridCol w:w="896"/>
      </w:tblGrid>
      <w:tr w:rsidR="0012034E" w:rsidRPr="0012034E" w:rsidTr="0012034E">
        <w:trPr>
          <w:trHeight w:val="900"/>
        </w:trPr>
        <w:tc>
          <w:tcPr>
            <w:tcW w:w="1347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CITTADINANZA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presenze 2008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presenze 2009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presenze 2010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presenze 2011</w:t>
            </w:r>
          </w:p>
        </w:tc>
        <w:tc>
          <w:tcPr>
            <w:tcW w:w="514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presenze 2012</w:t>
            </w:r>
          </w:p>
        </w:tc>
        <w:tc>
          <w:tcPr>
            <w:tcW w:w="514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presenze 2013</w:t>
            </w:r>
          </w:p>
        </w:tc>
        <w:tc>
          <w:tcPr>
            <w:tcW w:w="436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i/>
                <w:i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i/>
                <w:iCs/>
                <w:sz w:val="18"/>
                <w:szCs w:val="18"/>
              </w:rPr>
              <w:t>2013 - % sul totale</w:t>
            </w:r>
          </w:p>
        </w:tc>
        <w:tc>
          <w:tcPr>
            <w:tcW w:w="446" w:type="pct"/>
            <w:shd w:val="clear" w:color="auto" w:fill="auto"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2034E">
              <w:rPr>
                <w:rFonts w:ascii="Perpetua" w:hAnsi="Perpetua" w:cs="Arial"/>
                <w:b/>
                <w:bCs/>
                <w:i/>
                <w:iCs/>
                <w:sz w:val="18"/>
                <w:szCs w:val="18"/>
              </w:rPr>
              <w:t>Incr</w:t>
            </w:r>
            <w:proofErr w:type="spellEnd"/>
            <w:r w:rsidRPr="0012034E">
              <w:rPr>
                <w:rFonts w:ascii="Perpetua" w:hAnsi="Perpetua" w:cs="Arial"/>
                <w:b/>
                <w:bCs/>
                <w:i/>
                <w:iCs/>
                <w:sz w:val="18"/>
                <w:szCs w:val="18"/>
              </w:rPr>
              <w:t xml:space="preserve"> % 2012/2013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ROMANIA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11.880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12.621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13.366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14.150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14.479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13.219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35,2%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-8,7%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ALBANIA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5.409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5.720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5.904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5.995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5.916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5.525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14,7%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-6,6%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MAROCCO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1.899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2.056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2.153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2.277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2.311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2.120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5,6%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-8,3%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BANGLADESH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1.694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1.805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1.922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2.022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2.094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1.801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4,8%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-14,0%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INDIA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1.348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1.595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1.781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1.947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2.071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2.080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5,5%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0,4%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POLONIA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1.070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1.149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1.251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1.289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1.293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1.170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3,1%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-9,5%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PAKISTAN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786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897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1.011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1.085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1.198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1.258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3,3%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5,0%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CINA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688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843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978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1.112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1.218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3,2%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9,5%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MACEDONIA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714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766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722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750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737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767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2,0%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4,1%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hideMark/>
          </w:tcPr>
          <w:p w:rsidR="0012034E" w:rsidRPr="0012034E" w:rsidRDefault="0012034E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12034E">
              <w:rPr>
                <w:rFonts w:ascii="Perpetua" w:hAnsi="Perpetua" w:cs="Arial"/>
                <w:color w:val="000000"/>
                <w:sz w:val="18"/>
                <w:szCs w:val="18"/>
              </w:rPr>
              <w:t>KOSSOVO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252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390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395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650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777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2,1%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19,5%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FILIPPINE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452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574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621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654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1,7%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5,3%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UCRAINA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452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498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1,4%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-5,4%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REGNO UNITO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602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558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560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475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1,3%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-11,2%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REPUBBLICA DOMINICANA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447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501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524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1,3%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-8,5%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GERMANIA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536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520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482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1,3%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-7,3%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TUNISIA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389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413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428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432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425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378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1,0%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-11,1%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BULGARIA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325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343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370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375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383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0,9%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-8,6%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hideMark/>
          </w:tcPr>
          <w:p w:rsidR="0012034E" w:rsidRPr="0012034E" w:rsidRDefault="0012034E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12034E">
              <w:rPr>
                <w:rFonts w:ascii="Perpetua" w:hAnsi="Perpetua" w:cs="Arial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161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190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233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270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343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0,9%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-2,6%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hideMark/>
          </w:tcPr>
          <w:p w:rsidR="0012034E" w:rsidRPr="0012034E" w:rsidRDefault="0012034E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12034E">
              <w:rPr>
                <w:rFonts w:ascii="Perpetua" w:hAnsi="Perpetua" w:cs="Arial"/>
                <w:color w:val="000000"/>
                <w:sz w:val="18"/>
                <w:szCs w:val="18"/>
              </w:rPr>
              <w:t>SRI LANKA (CEYLON)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301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315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350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308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0,8%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-12,0%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hideMark/>
          </w:tcPr>
          <w:p w:rsidR="0012034E" w:rsidRPr="0012034E" w:rsidRDefault="0012034E">
            <w:pPr>
              <w:rPr>
                <w:rFonts w:ascii="Perpetua" w:hAnsi="Perpetua" w:cs="Arial"/>
                <w:color w:val="000000"/>
                <w:sz w:val="18"/>
                <w:szCs w:val="18"/>
              </w:rPr>
            </w:pPr>
            <w:r w:rsidRPr="0012034E">
              <w:rPr>
                <w:rFonts w:ascii="Perpetua" w:hAnsi="Perpetua" w:cs="Arial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217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225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263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267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285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203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0,5%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-28,8%</w:t>
            </w:r>
          </w:p>
        </w:tc>
      </w:tr>
      <w:tr w:rsidR="0012034E" w:rsidRPr="0012034E" w:rsidTr="0012034E">
        <w:trPr>
          <w:trHeight w:val="255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ALTRE NAZIONALITA'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3.580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3.715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4.005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3.933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3.905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3.456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9,2%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sz w:val="18"/>
                <w:szCs w:val="18"/>
              </w:rPr>
            </w:pPr>
            <w:r w:rsidRPr="0012034E">
              <w:rPr>
                <w:rFonts w:ascii="Perpetua" w:hAnsi="Perpetua" w:cs="Arial"/>
                <w:sz w:val="18"/>
                <w:szCs w:val="18"/>
              </w:rPr>
              <w:t>-11,5%</w:t>
            </w:r>
          </w:p>
        </w:tc>
      </w:tr>
      <w:tr w:rsidR="0012034E" w:rsidRPr="0012034E" w:rsidTr="0012034E">
        <w:trPr>
          <w:trHeight w:val="270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Totale complessivo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33072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35516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37691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39480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40326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37.598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2034E" w:rsidRPr="0012034E" w:rsidRDefault="0012034E">
            <w:pPr>
              <w:jc w:val="center"/>
              <w:rPr>
                <w:rFonts w:ascii="Perpetua" w:hAnsi="Perpetua" w:cs="Arial"/>
                <w:b/>
                <w:bCs/>
                <w:sz w:val="18"/>
                <w:szCs w:val="18"/>
              </w:rPr>
            </w:pPr>
            <w:r w:rsidRPr="0012034E">
              <w:rPr>
                <w:rFonts w:ascii="Perpetua" w:hAnsi="Perpetua" w:cs="Arial"/>
                <w:b/>
                <w:bCs/>
                <w:sz w:val="18"/>
                <w:szCs w:val="18"/>
              </w:rPr>
              <w:t>-6,8%</w:t>
            </w:r>
          </w:p>
        </w:tc>
      </w:tr>
    </w:tbl>
    <w:p w:rsidR="0012034E" w:rsidRDefault="0012034E" w:rsidP="00310DF9">
      <w:pPr>
        <w:rPr>
          <w:rFonts w:ascii="Perpetua" w:hAnsi="Perpetua"/>
        </w:rPr>
      </w:pPr>
    </w:p>
    <w:p w:rsidR="001015E7" w:rsidRPr="004F3206" w:rsidRDefault="001015E7" w:rsidP="001015E7">
      <w:pPr>
        <w:jc w:val="both"/>
        <w:rPr>
          <w:rFonts w:ascii="Perpetua" w:hAnsi="Perpetua"/>
          <w:sz w:val="20"/>
          <w:szCs w:val="20"/>
        </w:rPr>
      </w:pPr>
      <w:r w:rsidRPr="004F3206">
        <w:rPr>
          <w:rFonts w:ascii="Perpetua" w:hAnsi="Perpetua"/>
          <w:sz w:val="20"/>
          <w:szCs w:val="20"/>
        </w:rPr>
        <w:t xml:space="preserve">Tabella </w:t>
      </w:r>
      <w:r w:rsidR="004F3206" w:rsidRPr="004F3206">
        <w:rPr>
          <w:rFonts w:ascii="Perpetua" w:hAnsi="Perpetua"/>
          <w:sz w:val="20"/>
          <w:szCs w:val="20"/>
        </w:rPr>
        <w:t>riepilogativa 4.</w:t>
      </w:r>
      <w:r w:rsidRPr="004F3206">
        <w:rPr>
          <w:rFonts w:ascii="Perpetua" w:hAnsi="Perpetua"/>
          <w:sz w:val="20"/>
          <w:szCs w:val="20"/>
        </w:rPr>
        <w:t xml:space="preserve"> Principale comunità residente per Comune all’1/1/2014 (numero e incidenza % sul totale degli stranieri)</w:t>
      </w:r>
    </w:p>
    <w:tbl>
      <w:tblPr>
        <w:tblW w:w="50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1480"/>
        <w:gridCol w:w="1540"/>
      </w:tblGrid>
      <w:tr w:rsidR="001015E7" w:rsidRPr="001015E7" w:rsidTr="001015E7">
        <w:trPr>
          <w:trHeight w:val="49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Comuni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Prima comunità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Incidenza % sul totale stranieri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Bibbiena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60,5%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 xml:space="preserve">C.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Focognano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48,1%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C.S. Niccolò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41,1%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Chitignano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45,9%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 xml:space="preserve">Chiusi della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Verna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32,7%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Montemignaio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76,9%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Ortignano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59,3%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Poppi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70,3%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Pratovecchio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58,7%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Stia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79,5%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Talla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32,8%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 xml:space="preserve">AREA CASENTINO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59,4%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Bucine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24,6%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Castelfranco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31,6%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Cavriglia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27,3%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Laterina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35,5%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 xml:space="preserve">Loro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Ciuffenna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33,8%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Montevarchi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24,2%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Pergine</w:t>
            </w:r>
            <w:proofErr w:type="spellEnd"/>
            <w:r w:rsidRPr="001015E7">
              <w:rPr>
                <w:rFonts w:ascii="Perpetua" w:hAnsi="Perpetua" w:cs="Arial"/>
                <w:sz w:val="20"/>
                <w:szCs w:val="20"/>
              </w:rPr>
              <w:t xml:space="preserve">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V.no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35,2%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Piandiscò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38,0%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 xml:space="preserve">S. Giovanni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V.no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34,6%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lastRenderedPageBreak/>
              <w:t>Terranuova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26,3%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 xml:space="preserve">AREA VALDARNO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24,9%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Castiglion</w:t>
            </w:r>
            <w:proofErr w:type="spellEnd"/>
            <w:r w:rsidRPr="001015E7">
              <w:rPr>
                <w:rFonts w:ascii="Perpetua" w:hAnsi="Perpetua" w:cs="Arial"/>
                <w:sz w:val="20"/>
                <w:szCs w:val="20"/>
              </w:rPr>
              <w:t xml:space="preserve"> Fiorentino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45,6%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Cortona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27,9%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Foiano Della Chiana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54,5%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Lucignano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29,1%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Marciano della Chiana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51,7%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 xml:space="preserve">AREA VALDICHIANA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40,5%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Anghiari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Serbia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16,0%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 xml:space="preserve">Badia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Tedalda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Macedonia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24,4%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Caprese Michelangelo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Regno Unito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23,1%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Monterchi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35,2%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P. S. Stefano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Marocco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33,4%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Sansepolcro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21,9%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Sestino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Macedonia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22,2%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 xml:space="preserve">AREA VALTIBERINA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Albania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18,2%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Arezzo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37,5%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Capolona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34,6%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Castiglion</w:t>
            </w:r>
            <w:proofErr w:type="spellEnd"/>
            <w:r w:rsidRPr="001015E7">
              <w:rPr>
                <w:rFonts w:ascii="Perpetua" w:hAnsi="Perpetua" w:cs="Arial"/>
                <w:sz w:val="20"/>
                <w:szCs w:val="20"/>
              </w:rPr>
              <w:t xml:space="preserve">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Fibocchi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31,4%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Civitella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40,3%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 xml:space="preserve">Monte </w:t>
            </w:r>
            <w:proofErr w:type="spellStart"/>
            <w:r w:rsidRPr="001015E7">
              <w:rPr>
                <w:rFonts w:ascii="Perpetua" w:hAnsi="Perpetua" w:cs="Arial"/>
                <w:sz w:val="20"/>
                <w:szCs w:val="20"/>
              </w:rPr>
              <w:t>S.Savino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47,1%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Subbiano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1015E7">
              <w:rPr>
                <w:rFonts w:ascii="Perpetua" w:hAnsi="Perpetua" w:cs="Arial"/>
                <w:sz w:val="20"/>
                <w:szCs w:val="20"/>
              </w:rPr>
              <w:t>39,9%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 xml:space="preserve">AREA ARETINA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38,0%</w:t>
            </w:r>
          </w:p>
        </w:tc>
      </w:tr>
      <w:tr w:rsidR="001015E7" w:rsidRPr="001015E7" w:rsidTr="001015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PROVINCIA AREZZO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5E7" w:rsidRPr="001015E7" w:rsidRDefault="001015E7">
            <w:pPr>
              <w:jc w:val="center"/>
              <w:rPr>
                <w:rFonts w:ascii="Perpetua" w:hAnsi="Perpetua" w:cs="Arial"/>
                <w:b/>
                <w:bCs/>
                <w:sz w:val="20"/>
                <w:szCs w:val="20"/>
              </w:rPr>
            </w:pPr>
            <w:r w:rsidRPr="001015E7">
              <w:rPr>
                <w:rFonts w:ascii="Perpetua" w:hAnsi="Perpetua" w:cs="Arial"/>
                <w:b/>
                <w:bCs/>
                <w:sz w:val="20"/>
                <w:szCs w:val="20"/>
              </w:rPr>
              <w:t>36,2%</w:t>
            </w:r>
          </w:p>
        </w:tc>
      </w:tr>
    </w:tbl>
    <w:p w:rsidR="001015E7" w:rsidRDefault="001015E7" w:rsidP="00310DF9">
      <w:pPr>
        <w:rPr>
          <w:rFonts w:ascii="Perpetua" w:hAnsi="Perpetua"/>
        </w:rPr>
      </w:pPr>
    </w:p>
    <w:p w:rsidR="001015E7" w:rsidRDefault="001015E7" w:rsidP="00310DF9">
      <w:pPr>
        <w:rPr>
          <w:rFonts w:ascii="Perpetua" w:hAnsi="Perpetua"/>
        </w:rPr>
      </w:pPr>
    </w:p>
    <w:p w:rsidR="001015E7" w:rsidRDefault="001015E7" w:rsidP="00310DF9">
      <w:pPr>
        <w:rPr>
          <w:rFonts w:ascii="Perpetua" w:hAnsi="Perpetua"/>
        </w:rPr>
      </w:pPr>
    </w:p>
    <w:p w:rsidR="0012034E" w:rsidRDefault="0012034E" w:rsidP="00310DF9">
      <w:pPr>
        <w:rPr>
          <w:rFonts w:ascii="Perpetua" w:hAnsi="Perpetua"/>
        </w:rPr>
      </w:pPr>
    </w:p>
    <w:p w:rsidR="0012034E" w:rsidRPr="004F5E49" w:rsidRDefault="0012034E" w:rsidP="00310DF9">
      <w:pPr>
        <w:rPr>
          <w:rFonts w:ascii="Perpetua" w:hAnsi="Perpetua"/>
        </w:rPr>
      </w:pPr>
    </w:p>
    <w:p w:rsidR="00027613" w:rsidRPr="004F5E49" w:rsidRDefault="00027613" w:rsidP="00027613">
      <w:pPr>
        <w:jc w:val="center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</w:rPr>
        <w:br w:type="column"/>
      </w:r>
      <w:r w:rsidRPr="004F5E49">
        <w:rPr>
          <w:rFonts w:ascii="Perpetua" w:hAnsi="Perpetua"/>
          <w:sz w:val="18"/>
          <w:szCs w:val="18"/>
        </w:rPr>
        <w:lastRenderedPageBreak/>
        <w:t>Pubblicazioni della Sezione Immigrazione</w:t>
      </w:r>
    </w:p>
    <w:p w:rsidR="00027613" w:rsidRPr="004F5E49" w:rsidRDefault="00027613" w:rsidP="00027613">
      <w:pPr>
        <w:jc w:val="center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>(</w:t>
      </w:r>
      <w:hyperlink r:id="rId14" w:history="1">
        <w:r w:rsidRPr="004F5E49">
          <w:rPr>
            <w:rStyle w:val="Collegamentoipertestuale"/>
            <w:rFonts w:ascii="Perpetua" w:hAnsi="Perpetua"/>
            <w:color w:val="000000"/>
            <w:sz w:val="18"/>
            <w:szCs w:val="18"/>
          </w:rPr>
          <w:t>www.provincia.arezzo.it</w:t>
        </w:r>
      </w:hyperlink>
      <w:r w:rsidRPr="004F5E49">
        <w:rPr>
          <w:rFonts w:ascii="Perpetua" w:hAnsi="Perpetua"/>
          <w:sz w:val="18"/>
          <w:szCs w:val="18"/>
        </w:rPr>
        <w:t xml:space="preserve"> – www.oxfamitalia.it)</w:t>
      </w:r>
    </w:p>
    <w:p w:rsidR="00027613" w:rsidRPr="004F5E49" w:rsidRDefault="00027613" w:rsidP="00027613">
      <w:pPr>
        <w:jc w:val="both"/>
        <w:rPr>
          <w:rFonts w:ascii="Perpetua" w:hAnsi="Perpetua"/>
          <w:b/>
          <w:bCs/>
          <w:iCs/>
          <w:sz w:val="18"/>
          <w:szCs w:val="18"/>
        </w:rPr>
      </w:pPr>
    </w:p>
    <w:p w:rsidR="00027613" w:rsidRPr="004F5E49" w:rsidRDefault="00027613" w:rsidP="00027613">
      <w:pPr>
        <w:numPr>
          <w:ilvl w:val="0"/>
          <w:numId w:val="4"/>
        </w:numPr>
        <w:ind w:left="0" w:firstLine="0"/>
        <w:jc w:val="both"/>
        <w:rPr>
          <w:rFonts w:ascii="Perpetua" w:hAnsi="Perpetua"/>
          <w:b/>
          <w:bCs/>
          <w:iCs/>
          <w:sz w:val="18"/>
          <w:szCs w:val="18"/>
        </w:rPr>
      </w:pPr>
      <w:r w:rsidRPr="004F5E49">
        <w:rPr>
          <w:rFonts w:ascii="Perpetua" w:hAnsi="Perpetua"/>
          <w:b/>
          <w:bCs/>
          <w:iCs/>
          <w:sz w:val="18"/>
          <w:szCs w:val="18"/>
        </w:rPr>
        <w:t>Rapporti tematici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20 – </w:t>
      </w:r>
      <w:r w:rsidRPr="004F5E49">
        <w:rPr>
          <w:rFonts w:ascii="Perpetua" w:hAnsi="Perpetua"/>
          <w:i/>
          <w:sz w:val="18"/>
          <w:szCs w:val="18"/>
        </w:rPr>
        <w:t>Alunni stranieri nelle scuole della provincia di Arezzo. Esiti e ritardi. Seconde generazioni</w:t>
      </w:r>
      <w:r w:rsidRPr="004F5E49">
        <w:rPr>
          <w:rFonts w:ascii="Perpetua" w:hAnsi="Perpetua"/>
          <w:sz w:val="18"/>
          <w:szCs w:val="18"/>
        </w:rPr>
        <w:t xml:space="preserve"> (</w:t>
      </w:r>
      <w:proofErr w:type="spellStart"/>
      <w:r w:rsidRPr="004F5E49">
        <w:rPr>
          <w:rFonts w:ascii="Perpetua" w:hAnsi="Perpetua"/>
          <w:sz w:val="18"/>
          <w:szCs w:val="18"/>
        </w:rPr>
        <w:t>a.s.</w:t>
      </w:r>
      <w:proofErr w:type="spellEnd"/>
      <w:r w:rsidRPr="004F5E49">
        <w:rPr>
          <w:rFonts w:ascii="Perpetua" w:hAnsi="Perpetua"/>
          <w:sz w:val="18"/>
          <w:szCs w:val="18"/>
        </w:rPr>
        <w:t xml:space="preserve"> 2006/07) (2008)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21 – </w:t>
      </w:r>
      <w:r w:rsidRPr="004F5E49">
        <w:rPr>
          <w:rFonts w:ascii="Perpetua" w:hAnsi="Perpetua"/>
          <w:i/>
          <w:sz w:val="18"/>
          <w:szCs w:val="18"/>
        </w:rPr>
        <w:t xml:space="preserve">Il lavoro autonomo degli immigrati in provincia di Arezzo </w:t>
      </w:r>
      <w:r w:rsidRPr="004F5E49">
        <w:rPr>
          <w:rFonts w:ascii="Perpetua" w:hAnsi="Perpetua"/>
          <w:sz w:val="18"/>
          <w:szCs w:val="18"/>
        </w:rPr>
        <w:t>(al 1/1/2008) (2008)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22 – </w:t>
      </w:r>
      <w:r w:rsidRPr="004F5E49">
        <w:rPr>
          <w:rFonts w:ascii="Perpetua" w:hAnsi="Perpetua"/>
          <w:i/>
          <w:sz w:val="18"/>
          <w:szCs w:val="18"/>
        </w:rPr>
        <w:t xml:space="preserve">La presenza degli immigrati in provincia di Arezzo </w:t>
      </w:r>
      <w:r w:rsidRPr="004F5E49">
        <w:rPr>
          <w:rFonts w:ascii="Perpetua" w:hAnsi="Perpetua"/>
          <w:sz w:val="18"/>
          <w:szCs w:val="18"/>
        </w:rPr>
        <w:t>(al 1/1/2008) (2008)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23 – </w:t>
      </w:r>
      <w:r w:rsidRPr="004F5E49">
        <w:rPr>
          <w:rFonts w:ascii="Perpetua" w:hAnsi="Perpetua"/>
          <w:i/>
          <w:sz w:val="18"/>
          <w:szCs w:val="18"/>
        </w:rPr>
        <w:t>Immigrazione e lavoro dipendente in provincia di Arezzo</w:t>
      </w:r>
      <w:r w:rsidRPr="004F5E49">
        <w:rPr>
          <w:rFonts w:ascii="Perpetua" w:hAnsi="Perpetua"/>
          <w:sz w:val="18"/>
          <w:szCs w:val="18"/>
        </w:rPr>
        <w:t xml:space="preserve"> (al 1° gennaio 2008) (2008)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24 – </w:t>
      </w:r>
      <w:r w:rsidRPr="004F5E49">
        <w:rPr>
          <w:rFonts w:ascii="Perpetua" w:hAnsi="Perpetua"/>
          <w:i/>
          <w:sz w:val="18"/>
          <w:szCs w:val="18"/>
        </w:rPr>
        <w:t xml:space="preserve">Alunni stranieri nelle scuole della provincia di Arezzo. Presenza, esiti e ritardi. Seconde generazioni </w:t>
      </w:r>
      <w:r w:rsidRPr="004F5E49">
        <w:rPr>
          <w:rFonts w:ascii="Perpetua" w:hAnsi="Perpetua"/>
          <w:sz w:val="18"/>
          <w:szCs w:val="18"/>
        </w:rPr>
        <w:t>(</w:t>
      </w:r>
      <w:proofErr w:type="spellStart"/>
      <w:r w:rsidRPr="004F5E49">
        <w:rPr>
          <w:rFonts w:ascii="Perpetua" w:hAnsi="Perpetua"/>
          <w:sz w:val="18"/>
          <w:szCs w:val="18"/>
        </w:rPr>
        <w:t>a.s.</w:t>
      </w:r>
      <w:proofErr w:type="spellEnd"/>
      <w:r w:rsidRPr="004F5E49">
        <w:rPr>
          <w:rFonts w:ascii="Perpetua" w:hAnsi="Perpetua"/>
          <w:sz w:val="18"/>
          <w:szCs w:val="18"/>
        </w:rPr>
        <w:t xml:space="preserve"> 2007/08) (2008)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25 - </w:t>
      </w:r>
      <w:r w:rsidRPr="004F5E49">
        <w:rPr>
          <w:rFonts w:ascii="Perpetua" w:hAnsi="Perpetua"/>
          <w:i/>
          <w:sz w:val="18"/>
          <w:szCs w:val="18"/>
        </w:rPr>
        <w:t>La presenza di immigrati e figli di immigrati in provincia di Arezzo</w:t>
      </w:r>
      <w:r w:rsidRPr="004F5E49">
        <w:rPr>
          <w:rFonts w:ascii="Perpetua" w:hAnsi="Perpetua"/>
          <w:sz w:val="18"/>
          <w:szCs w:val="18"/>
        </w:rPr>
        <w:t xml:space="preserve"> (all’1/1/2009) (2009)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26 - </w:t>
      </w:r>
      <w:r w:rsidRPr="004F5E49">
        <w:rPr>
          <w:rFonts w:ascii="Perpetua" w:hAnsi="Perpetua"/>
          <w:i/>
          <w:sz w:val="18"/>
          <w:szCs w:val="18"/>
        </w:rPr>
        <w:t xml:space="preserve">Il lavoro autonomo dei migranti in provincia di Arezzo </w:t>
      </w:r>
      <w:r w:rsidRPr="004F5E49">
        <w:rPr>
          <w:rFonts w:ascii="Perpetua" w:hAnsi="Perpetua"/>
          <w:sz w:val="18"/>
          <w:szCs w:val="18"/>
        </w:rPr>
        <w:t>(al 31/12/2008) (2009)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27 – </w:t>
      </w:r>
      <w:r w:rsidRPr="004F5E49">
        <w:rPr>
          <w:rFonts w:ascii="Perpetua" w:hAnsi="Perpetua"/>
          <w:i/>
          <w:sz w:val="18"/>
          <w:szCs w:val="18"/>
        </w:rPr>
        <w:t xml:space="preserve">Alunni stranieri nelle scuole della provincia di Arezzo. Presenza, esiti e ritardi. Seconde generazioni </w:t>
      </w:r>
      <w:r w:rsidRPr="004F5E49">
        <w:rPr>
          <w:rFonts w:ascii="Perpetua" w:hAnsi="Perpetua"/>
          <w:sz w:val="18"/>
          <w:szCs w:val="18"/>
        </w:rPr>
        <w:t>(</w:t>
      </w:r>
      <w:proofErr w:type="spellStart"/>
      <w:r w:rsidRPr="004F5E49">
        <w:rPr>
          <w:rFonts w:ascii="Perpetua" w:hAnsi="Perpetua"/>
          <w:sz w:val="18"/>
          <w:szCs w:val="18"/>
        </w:rPr>
        <w:t>a.s.</w:t>
      </w:r>
      <w:proofErr w:type="spellEnd"/>
      <w:r w:rsidRPr="004F5E49">
        <w:rPr>
          <w:rFonts w:ascii="Perpetua" w:hAnsi="Perpetua"/>
          <w:sz w:val="18"/>
          <w:szCs w:val="18"/>
        </w:rPr>
        <w:t xml:space="preserve"> 2008/09) (2009)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28 – </w:t>
      </w:r>
      <w:r w:rsidRPr="004F5E49">
        <w:rPr>
          <w:rFonts w:ascii="Perpetua" w:hAnsi="Perpetua"/>
          <w:i/>
          <w:sz w:val="18"/>
          <w:szCs w:val="18"/>
        </w:rPr>
        <w:t xml:space="preserve">Alunni stranieri nelle scuole della provincia di Arezzo. Presenza, esiti e ritardi. Seconde generazioni </w:t>
      </w:r>
      <w:r w:rsidRPr="004F5E49">
        <w:rPr>
          <w:rFonts w:ascii="Perpetua" w:hAnsi="Perpetua"/>
          <w:sz w:val="18"/>
          <w:szCs w:val="18"/>
        </w:rPr>
        <w:t>(</w:t>
      </w:r>
      <w:proofErr w:type="spellStart"/>
      <w:r w:rsidRPr="004F5E49">
        <w:rPr>
          <w:rFonts w:ascii="Perpetua" w:hAnsi="Perpetua"/>
          <w:sz w:val="18"/>
          <w:szCs w:val="18"/>
        </w:rPr>
        <w:t>a.s.</w:t>
      </w:r>
      <w:proofErr w:type="spellEnd"/>
      <w:r w:rsidRPr="004F5E49">
        <w:rPr>
          <w:rFonts w:ascii="Perpetua" w:hAnsi="Perpetua"/>
          <w:sz w:val="18"/>
          <w:szCs w:val="18"/>
        </w:rPr>
        <w:t xml:space="preserve"> 2009/10) (2010)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29 - </w:t>
      </w:r>
      <w:r w:rsidRPr="004F5E49">
        <w:rPr>
          <w:rFonts w:ascii="Perpetua" w:hAnsi="Perpetua"/>
          <w:i/>
          <w:sz w:val="18"/>
          <w:szCs w:val="18"/>
        </w:rPr>
        <w:t xml:space="preserve">L’imprenditoria immigrata in provincia di Arezzo (al 1 gennaio 2010) </w:t>
      </w:r>
      <w:r w:rsidRPr="004F5E49">
        <w:rPr>
          <w:rFonts w:ascii="Perpetua" w:hAnsi="Perpetua"/>
          <w:sz w:val="18"/>
          <w:szCs w:val="18"/>
        </w:rPr>
        <w:t>(2010)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30 - </w:t>
      </w:r>
      <w:r w:rsidRPr="004F5E49">
        <w:rPr>
          <w:rFonts w:ascii="Perpetua" w:hAnsi="Perpetua"/>
          <w:i/>
          <w:sz w:val="18"/>
          <w:szCs w:val="18"/>
        </w:rPr>
        <w:t>Immigrazione e lavoro dipendente in provincia di Arezzo</w:t>
      </w:r>
      <w:r w:rsidRPr="004F5E49">
        <w:rPr>
          <w:rFonts w:ascii="Perpetua" w:hAnsi="Perpetua"/>
          <w:sz w:val="18"/>
          <w:szCs w:val="18"/>
        </w:rPr>
        <w:t xml:space="preserve"> (al 1° gennaio 2010) (2010)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31 - </w:t>
      </w:r>
      <w:r w:rsidRPr="004F5E49">
        <w:rPr>
          <w:rFonts w:ascii="Perpetua" w:hAnsi="Perpetua"/>
          <w:i/>
          <w:sz w:val="18"/>
          <w:szCs w:val="18"/>
        </w:rPr>
        <w:t>La presenza di immigrati e figli di immigrati in provincia di Arezzo</w:t>
      </w:r>
      <w:r w:rsidRPr="004F5E49">
        <w:rPr>
          <w:rFonts w:ascii="Perpetua" w:hAnsi="Perpetua"/>
          <w:sz w:val="18"/>
          <w:szCs w:val="18"/>
        </w:rPr>
        <w:t xml:space="preserve"> (all’1/1/2010) (2010)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32 – </w:t>
      </w:r>
      <w:r w:rsidRPr="004F5E49">
        <w:rPr>
          <w:rFonts w:ascii="Perpetua" w:hAnsi="Perpetua"/>
          <w:i/>
          <w:sz w:val="18"/>
          <w:szCs w:val="18"/>
        </w:rPr>
        <w:t>Ritardi ed esiti scolastici. Alunni stranieri ricongiunti e di seconda generazione</w:t>
      </w:r>
      <w:r w:rsidRPr="004F5E49">
        <w:rPr>
          <w:rFonts w:ascii="Perpetua" w:hAnsi="Perpetua"/>
          <w:sz w:val="18"/>
          <w:szCs w:val="18"/>
        </w:rPr>
        <w:t xml:space="preserve"> (</w:t>
      </w:r>
      <w:proofErr w:type="spellStart"/>
      <w:r w:rsidRPr="004F5E49">
        <w:rPr>
          <w:rFonts w:ascii="Perpetua" w:hAnsi="Perpetua"/>
          <w:sz w:val="18"/>
          <w:szCs w:val="18"/>
        </w:rPr>
        <w:t>a.s.</w:t>
      </w:r>
      <w:proofErr w:type="spellEnd"/>
      <w:r w:rsidRPr="004F5E49">
        <w:rPr>
          <w:rFonts w:ascii="Perpetua" w:hAnsi="Perpetua"/>
          <w:sz w:val="18"/>
          <w:szCs w:val="18"/>
        </w:rPr>
        <w:t xml:space="preserve"> 2009/2010) (2010)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33 – </w:t>
      </w:r>
      <w:r w:rsidRPr="004F5E49">
        <w:rPr>
          <w:rFonts w:ascii="Perpetua" w:hAnsi="Perpetua"/>
          <w:i/>
          <w:sz w:val="18"/>
          <w:szCs w:val="18"/>
        </w:rPr>
        <w:t>Servizi sanitari e immigrazione: accesso, utilizzo, criticità. Il punto di vista degli utenti stranieri</w:t>
      </w:r>
      <w:r w:rsidRPr="004F5E49">
        <w:rPr>
          <w:rFonts w:ascii="Perpetua" w:hAnsi="Perpetua"/>
          <w:sz w:val="18"/>
          <w:szCs w:val="18"/>
        </w:rPr>
        <w:t xml:space="preserve"> (2011)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34 - </w:t>
      </w:r>
      <w:r w:rsidRPr="004F5E49">
        <w:rPr>
          <w:rFonts w:ascii="Perpetua" w:hAnsi="Perpetua"/>
          <w:i/>
          <w:sz w:val="18"/>
          <w:szCs w:val="18"/>
        </w:rPr>
        <w:t>Alunni stranieri in provincia di Arezzo. Presenza e seconde generazioni</w:t>
      </w:r>
      <w:r w:rsidRPr="004F5E49">
        <w:rPr>
          <w:rFonts w:ascii="Perpetua" w:hAnsi="Perpetua"/>
          <w:sz w:val="18"/>
          <w:szCs w:val="18"/>
        </w:rPr>
        <w:t xml:space="preserve"> (</w:t>
      </w:r>
      <w:proofErr w:type="spellStart"/>
      <w:r w:rsidRPr="004F5E49">
        <w:rPr>
          <w:rFonts w:ascii="Perpetua" w:hAnsi="Perpetua"/>
          <w:sz w:val="18"/>
          <w:szCs w:val="18"/>
        </w:rPr>
        <w:t>a.s.</w:t>
      </w:r>
      <w:proofErr w:type="spellEnd"/>
      <w:r w:rsidRPr="004F5E49">
        <w:rPr>
          <w:rFonts w:ascii="Perpetua" w:hAnsi="Perpetua"/>
          <w:sz w:val="18"/>
          <w:szCs w:val="18"/>
        </w:rPr>
        <w:t xml:space="preserve"> 2010/11) (2011)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 xml:space="preserve">- Rapporto n. 35 – </w:t>
      </w:r>
      <w:r w:rsidRPr="004F5E49">
        <w:rPr>
          <w:rFonts w:ascii="Perpetua" w:hAnsi="Perpetua"/>
          <w:bCs/>
          <w:i/>
          <w:iCs/>
          <w:sz w:val="18"/>
          <w:szCs w:val="18"/>
        </w:rPr>
        <w:t>La presenza di immigrati e figli di immigrati in provincia di Arezzo</w:t>
      </w:r>
      <w:r w:rsidRPr="004F5E49">
        <w:rPr>
          <w:rFonts w:ascii="Perpetua" w:hAnsi="Perpetua"/>
          <w:bCs/>
          <w:iCs/>
          <w:sz w:val="18"/>
          <w:szCs w:val="18"/>
        </w:rPr>
        <w:t xml:space="preserve"> (al 31/12/2011) (ottobre 2011).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36 - </w:t>
      </w:r>
      <w:r w:rsidRPr="004F5E49">
        <w:rPr>
          <w:rFonts w:ascii="Perpetua" w:hAnsi="Perpetua"/>
          <w:i/>
          <w:sz w:val="18"/>
          <w:szCs w:val="18"/>
        </w:rPr>
        <w:t xml:space="preserve">L’imprenditoria immigrata in provincia di Arezzo (al 1 gennaio 2011) </w:t>
      </w:r>
      <w:r w:rsidRPr="004F5E49">
        <w:rPr>
          <w:rFonts w:ascii="Perpetua" w:hAnsi="Perpetua"/>
          <w:sz w:val="18"/>
          <w:szCs w:val="18"/>
        </w:rPr>
        <w:t>(2011)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 xml:space="preserve">- Rapporto n. 37 - </w:t>
      </w:r>
      <w:r w:rsidRPr="004F5E49">
        <w:rPr>
          <w:rFonts w:ascii="Perpetua" w:hAnsi="Perpetua"/>
          <w:i/>
          <w:sz w:val="18"/>
          <w:szCs w:val="18"/>
        </w:rPr>
        <w:t>Alunni con cittadinanza non italiana: regolarità e riuscita scolastica (</w:t>
      </w:r>
      <w:proofErr w:type="spellStart"/>
      <w:r w:rsidRPr="004F5E49">
        <w:rPr>
          <w:rFonts w:ascii="Perpetua" w:hAnsi="Perpetua"/>
          <w:i/>
          <w:sz w:val="18"/>
          <w:szCs w:val="18"/>
        </w:rPr>
        <w:t>a.s.</w:t>
      </w:r>
      <w:proofErr w:type="spellEnd"/>
      <w:r w:rsidRPr="004F5E49">
        <w:rPr>
          <w:rFonts w:ascii="Perpetua" w:hAnsi="Perpetua"/>
          <w:i/>
          <w:sz w:val="18"/>
          <w:szCs w:val="18"/>
        </w:rPr>
        <w:t xml:space="preserve"> 2010-2011) </w:t>
      </w:r>
      <w:r w:rsidRPr="004F5E49">
        <w:rPr>
          <w:rFonts w:ascii="Perpetua" w:hAnsi="Perpetua"/>
          <w:sz w:val="18"/>
          <w:szCs w:val="18"/>
        </w:rPr>
        <w:t>(2012)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Rapporto n. 38 – </w:t>
      </w:r>
      <w:r w:rsidRPr="004F5E49">
        <w:rPr>
          <w:rFonts w:ascii="Perpetua" w:hAnsi="Perpetua"/>
          <w:i/>
          <w:sz w:val="18"/>
          <w:szCs w:val="18"/>
        </w:rPr>
        <w:t>L’immigrazione nelle zone della Provincia. Rapporti Zonali</w:t>
      </w:r>
      <w:r w:rsidRPr="004F5E49">
        <w:rPr>
          <w:rFonts w:ascii="Perpetua" w:hAnsi="Perpetua"/>
          <w:sz w:val="18"/>
          <w:szCs w:val="18"/>
        </w:rPr>
        <w:t xml:space="preserve"> (2012)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 xml:space="preserve">- Rapporto n. 39 - </w:t>
      </w:r>
      <w:r w:rsidRPr="004F5E49">
        <w:rPr>
          <w:rFonts w:ascii="Perpetua" w:hAnsi="Perpetua"/>
          <w:i/>
          <w:sz w:val="18"/>
          <w:szCs w:val="18"/>
        </w:rPr>
        <w:t>Popolazione immigrata e servizi sanitari</w:t>
      </w:r>
      <w:r w:rsidRPr="004F5E49">
        <w:rPr>
          <w:rFonts w:ascii="Perpetua" w:hAnsi="Perpetua"/>
          <w:sz w:val="18"/>
          <w:szCs w:val="18"/>
        </w:rPr>
        <w:t xml:space="preserve"> (2012)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 xml:space="preserve">- Rapporto n. 40 – </w:t>
      </w:r>
      <w:r w:rsidRPr="004F5E49">
        <w:rPr>
          <w:rFonts w:ascii="Perpetua" w:hAnsi="Perpetua"/>
          <w:i/>
          <w:sz w:val="18"/>
          <w:szCs w:val="18"/>
        </w:rPr>
        <w:t>Il Mondo a scuola. Gli studenti di origine straniera nelle scuole della provincia di Arezzo (</w:t>
      </w:r>
      <w:proofErr w:type="spellStart"/>
      <w:r w:rsidRPr="004F5E49">
        <w:rPr>
          <w:rFonts w:ascii="Perpetua" w:hAnsi="Perpetua"/>
          <w:i/>
          <w:sz w:val="18"/>
          <w:szCs w:val="18"/>
        </w:rPr>
        <w:t>a.s.</w:t>
      </w:r>
      <w:proofErr w:type="spellEnd"/>
      <w:r w:rsidRPr="004F5E49">
        <w:rPr>
          <w:rFonts w:ascii="Perpetua" w:hAnsi="Perpetua"/>
          <w:i/>
          <w:sz w:val="18"/>
          <w:szCs w:val="18"/>
        </w:rPr>
        <w:t xml:space="preserve"> 2012/13).     Presenza, seconde generazioni, esiti scolastici</w:t>
      </w:r>
      <w:r w:rsidRPr="004F5E49">
        <w:rPr>
          <w:rFonts w:ascii="Perpetua" w:hAnsi="Perpetua"/>
          <w:sz w:val="18"/>
          <w:szCs w:val="18"/>
        </w:rPr>
        <w:t xml:space="preserve"> (2013)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>- Rapporto n. 41 –</w:t>
      </w:r>
      <w:r w:rsidRPr="004F5E49">
        <w:rPr>
          <w:rFonts w:ascii="Perpetua" w:hAnsi="Perpetua"/>
          <w:bCs/>
          <w:i/>
          <w:iCs/>
          <w:sz w:val="18"/>
          <w:szCs w:val="18"/>
        </w:rPr>
        <w:t xml:space="preserve"> La presenza di immigrati e figli di immigrati in provincia di Arezzo</w:t>
      </w:r>
      <w:r w:rsidRPr="004F5E49">
        <w:rPr>
          <w:rFonts w:ascii="Perpetua" w:hAnsi="Perpetua"/>
          <w:bCs/>
          <w:iCs/>
          <w:sz w:val="18"/>
          <w:szCs w:val="18"/>
        </w:rPr>
        <w:t xml:space="preserve"> </w:t>
      </w:r>
      <w:r w:rsidRPr="004F5E49">
        <w:rPr>
          <w:rFonts w:ascii="Perpetua" w:hAnsi="Perpetua"/>
          <w:sz w:val="18"/>
          <w:szCs w:val="18"/>
        </w:rPr>
        <w:t xml:space="preserve">al 1/1/2013 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 xml:space="preserve">- Rapporto n. 42 – </w:t>
      </w:r>
      <w:r w:rsidRPr="004F5E49">
        <w:rPr>
          <w:rFonts w:ascii="Perpetua" w:hAnsi="Perpetua"/>
          <w:bCs/>
          <w:i/>
          <w:iCs/>
          <w:sz w:val="18"/>
          <w:szCs w:val="18"/>
        </w:rPr>
        <w:t>Alunni con cittadinanza non italiana: regolarità e riuscita scolastica</w:t>
      </w:r>
      <w:r w:rsidRPr="004F5E49">
        <w:rPr>
          <w:rFonts w:ascii="Perpetua" w:hAnsi="Perpetua"/>
          <w:bCs/>
          <w:iCs/>
          <w:sz w:val="18"/>
          <w:szCs w:val="18"/>
        </w:rPr>
        <w:t xml:space="preserve"> (</w:t>
      </w:r>
      <w:proofErr w:type="spellStart"/>
      <w:r w:rsidRPr="004F5E49">
        <w:rPr>
          <w:rFonts w:ascii="Perpetua" w:hAnsi="Perpetua"/>
          <w:bCs/>
          <w:iCs/>
          <w:sz w:val="18"/>
          <w:szCs w:val="18"/>
        </w:rPr>
        <w:t>a.s.</w:t>
      </w:r>
      <w:proofErr w:type="spellEnd"/>
      <w:r w:rsidRPr="004F5E49">
        <w:rPr>
          <w:rFonts w:ascii="Perpetua" w:hAnsi="Perpetua"/>
          <w:bCs/>
          <w:iCs/>
          <w:sz w:val="18"/>
          <w:szCs w:val="18"/>
        </w:rPr>
        <w:t xml:space="preserve"> 2012/2013)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bCs/>
          <w:iCs/>
          <w:sz w:val="18"/>
          <w:szCs w:val="18"/>
        </w:rPr>
        <w:t xml:space="preserve"> -Rapporto n. 43 – </w:t>
      </w:r>
      <w:r w:rsidRPr="004F5E49">
        <w:rPr>
          <w:rFonts w:ascii="Perpetua" w:hAnsi="Perpetua"/>
          <w:i/>
          <w:sz w:val="18"/>
          <w:szCs w:val="18"/>
        </w:rPr>
        <w:t xml:space="preserve">Il lavoro autonomo e le rimesse degli immigrati in provincia di Arezzo </w:t>
      </w:r>
      <w:r w:rsidRPr="004F5E49">
        <w:rPr>
          <w:rFonts w:ascii="Perpetua" w:hAnsi="Perpetua"/>
          <w:sz w:val="18"/>
          <w:szCs w:val="18"/>
        </w:rPr>
        <w:t xml:space="preserve"> (al 1 gennaio 2014)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>- Rapporto n. 44 – Cittadini</w:t>
      </w:r>
      <w:r w:rsidRPr="004F5E49">
        <w:rPr>
          <w:rFonts w:ascii="Perpetua" w:hAnsi="Perpetua"/>
          <w:i/>
          <w:sz w:val="18"/>
          <w:szCs w:val="18"/>
        </w:rPr>
        <w:t xml:space="preserve"> stranieri e uso dei farmaci in provincia di Arezzo</w:t>
      </w:r>
      <w:r w:rsidRPr="004F5E49">
        <w:rPr>
          <w:rFonts w:ascii="Perpetua" w:hAnsi="Perpetua"/>
          <w:sz w:val="18"/>
          <w:szCs w:val="18"/>
        </w:rPr>
        <w:t xml:space="preserve"> (giugno 2014)</w:t>
      </w:r>
    </w:p>
    <w:p w:rsidR="00027613" w:rsidRPr="004F5E49" w:rsidRDefault="00027613" w:rsidP="00027613">
      <w:pPr>
        <w:jc w:val="both"/>
        <w:rPr>
          <w:rFonts w:ascii="Perpetua" w:hAnsi="Perpetua"/>
          <w:i/>
          <w:sz w:val="18"/>
          <w:szCs w:val="18"/>
        </w:rPr>
      </w:pPr>
      <w:r w:rsidRPr="004F5E49">
        <w:rPr>
          <w:rFonts w:ascii="Perpetua" w:hAnsi="Perpetua"/>
          <w:i/>
          <w:sz w:val="18"/>
          <w:szCs w:val="18"/>
        </w:rPr>
        <w:t xml:space="preserve">- </w:t>
      </w:r>
      <w:r w:rsidRPr="004F5E49">
        <w:rPr>
          <w:rFonts w:ascii="Perpetua" w:hAnsi="Perpetua"/>
          <w:sz w:val="18"/>
          <w:szCs w:val="18"/>
        </w:rPr>
        <w:t>Rapporto n. 45</w:t>
      </w:r>
      <w:r w:rsidRPr="004F5E49">
        <w:rPr>
          <w:rFonts w:ascii="Perpetua" w:hAnsi="Perpetua"/>
          <w:i/>
          <w:sz w:val="18"/>
          <w:szCs w:val="18"/>
        </w:rPr>
        <w:t xml:space="preserve"> – I ricongiungimenti familiari in provincia di Arezzo (giugno 2014)</w:t>
      </w:r>
    </w:p>
    <w:p w:rsidR="00027613" w:rsidRPr="004F5E49" w:rsidRDefault="00027613" w:rsidP="00027613">
      <w:pPr>
        <w:jc w:val="both"/>
        <w:rPr>
          <w:rFonts w:ascii="Perpetua" w:hAnsi="Perpetua"/>
          <w:i/>
          <w:sz w:val="18"/>
          <w:szCs w:val="18"/>
        </w:rPr>
      </w:pPr>
      <w:r w:rsidRPr="004F5E49">
        <w:rPr>
          <w:rFonts w:ascii="Perpetua" w:hAnsi="Perpetua"/>
          <w:i/>
          <w:sz w:val="18"/>
          <w:szCs w:val="18"/>
        </w:rPr>
        <w:t xml:space="preserve">- </w:t>
      </w:r>
      <w:r w:rsidRPr="004F5E49">
        <w:rPr>
          <w:rFonts w:ascii="Perpetua" w:hAnsi="Perpetua"/>
          <w:sz w:val="18"/>
          <w:szCs w:val="18"/>
        </w:rPr>
        <w:t>Rapporto n. 46</w:t>
      </w:r>
      <w:r w:rsidRPr="004F5E49">
        <w:rPr>
          <w:rFonts w:ascii="Perpetua" w:hAnsi="Perpetua"/>
          <w:i/>
          <w:sz w:val="18"/>
          <w:szCs w:val="18"/>
        </w:rPr>
        <w:t xml:space="preserve"> – La scuola e i “nuovi” italiani: accogliente, integrativa e inclusiva? Una ricerca esplorativa in provincia di Arezzo (06/2014)</w:t>
      </w:r>
    </w:p>
    <w:p w:rsidR="00027613" w:rsidRPr="004F5E49" w:rsidRDefault="00027613" w:rsidP="00027613">
      <w:pPr>
        <w:jc w:val="both"/>
        <w:rPr>
          <w:rFonts w:ascii="Perpetua" w:hAnsi="Perpetua"/>
          <w:bCs/>
          <w:iCs/>
          <w:sz w:val="18"/>
          <w:szCs w:val="18"/>
        </w:rPr>
      </w:pPr>
    </w:p>
    <w:p w:rsidR="00027613" w:rsidRPr="004F5E49" w:rsidRDefault="00027613" w:rsidP="00027613">
      <w:pPr>
        <w:jc w:val="both"/>
        <w:rPr>
          <w:rFonts w:ascii="Perpetua" w:hAnsi="Perpetua"/>
          <w:b/>
          <w:bCs/>
          <w:iCs/>
          <w:sz w:val="18"/>
          <w:szCs w:val="18"/>
        </w:rPr>
      </w:pPr>
      <w:r w:rsidRPr="004F5E49">
        <w:rPr>
          <w:rFonts w:ascii="Perpetua" w:hAnsi="Perpetua"/>
          <w:b/>
          <w:bCs/>
          <w:iCs/>
          <w:sz w:val="18"/>
          <w:szCs w:val="18"/>
        </w:rPr>
        <w:t>Rapporti annuali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– Luatti L., </w:t>
      </w:r>
      <w:smartTag w:uri="urn:schemas-microsoft-com:office:smarttags" w:element="PersonName">
        <w:smartTagPr>
          <w:attr w:name="ProductID" w:val="La Mastra M."/>
        </w:smartTagPr>
        <w:r w:rsidRPr="004F5E49">
          <w:rPr>
            <w:rFonts w:ascii="Perpetua" w:hAnsi="Perpetua"/>
            <w:sz w:val="18"/>
            <w:szCs w:val="18"/>
          </w:rPr>
          <w:t>La Mastra M.</w:t>
        </w:r>
      </w:smartTag>
      <w:r w:rsidRPr="004F5E49">
        <w:rPr>
          <w:rFonts w:ascii="Perpetua" w:hAnsi="Perpetua"/>
          <w:sz w:val="18"/>
          <w:szCs w:val="18"/>
        </w:rPr>
        <w:t xml:space="preserve"> (a cura di), </w:t>
      </w:r>
      <w:r w:rsidRPr="004F5E49">
        <w:rPr>
          <w:rFonts w:ascii="Perpetua" w:hAnsi="Perpetua"/>
          <w:i/>
          <w:iCs/>
          <w:sz w:val="18"/>
          <w:szCs w:val="18"/>
        </w:rPr>
        <w:t>L’immigrazione straniera in provincia di Arezzo. Presenza, inserimento scolastico e lavorativo</w:t>
      </w:r>
      <w:r w:rsidRPr="004F5E49">
        <w:rPr>
          <w:rFonts w:ascii="Perpetua" w:hAnsi="Perpetua"/>
          <w:sz w:val="18"/>
          <w:szCs w:val="18"/>
        </w:rPr>
        <w:t xml:space="preserve">, Provincia di </w:t>
      </w:r>
      <w:proofErr w:type="spellStart"/>
      <w:r w:rsidRPr="004F5E49">
        <w:rPr>
          <w:rFonts w:ascii="Perpetua" w:hAnsi="Perpetua"/>
          <w:sz w:val="18"/>
          <w:szCs w:val="18"/>
        </w:rPr>
        <w:t>Arezzo-Ucodep</w:t>
      </w:r>
      <w:proofErr w:type="spellEnd"/>
      <w:r w:rsidRPr="004F5E49">
        <w:rPr>
          <w:rFonts w:ascii="Perpetua" w:hAnsi="Perpetua"/>
          <w:sz w:val="18"/>
          <w:szCs w:val="18"/>
        </w:rPr>
        <w:t xml:space="preserve"> (Studi e ricerche n. 3), Arezzo, 2001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– Luatti L., Ortolano I., </w:t>
      </w:r>
      <w:smartTag w:uri="urn:schemas-microsoft-com:office:smarttags" w:element="PersonName">
        <w:smartTagPr>
          <w:attr w:name="ProductID" w:val="La Mastra M."/>
        </w:smartTagPr>
        <w:r w:rsidRPr="004F5E49">
          <w:rPr>
            <w:rFonts w:ascii="Perpetua" w:hAnsi="Perpetua"/>
            <w:sz w:val="18"/>
            <w:szCs w:val="18"/>
          </w:rPr>
          <w:t>La Mastra M.</w:t>
        </w:r>
      </w:smartTag>
      <w:r w:rsidRPr="004F5E49">
        <w:rPr>
          <w:rFonts w:ascii="Perpetua" w:hAnsi="Perpetua"/>
          <w:sz w:val="18"/>
          <w:szCs w:val="18"/>
        </w:rPr>
        <w:t xml:space="preserve"> (a cura di), </w:t>
      </w:r>
      <w:r w:rsidRPr="004F5E49">
        <w:rPr>
          <w:rFonts w:ascii="Perpetua" w:hAnsi="Perpetua"/>
          <w:i/>
          <w:iCs/>
          <w:sz w:val="18"/>
          <w:szCs w:val="18"/>
        </w:rPr>
        <w:t>L’immigrazione straniera in provincia di Arezzo. Rapporto 2003</w:t>
      </w:r>
      <w:r w:rsidRPr="004F5E49">
        <w:rPr>
          <w:rFonts w:ascii="Perpetua" w:hAnsi="Perpetua"/>
          <w:sz w:val="18"/>
          <w:szCs w:val="18"/>
        </w:rPr>
        <w:t xml:space="preserve">, Provincia di </w:t>
      </w:r>
      <w:proofErr w:type="spellStart"/>
      <w:r w:rsidRPr="004F5E49">
        <w:rPr>
          <w:rFonts w:ascii="Perpetua" w:hAnsi="Perpetua"/>
          <w:sz w:val="18"/>
          <w:szCs w:val="18"/>
        </w:rPr>
        <w:t>Arezzo-Ucodep</w:t>
      </w:r>
      <w:proofErr w:type="spellEnd"/>
      <w:r w:rsidRPr="004F5E49">
        <w:rPr>
          <w:rFonts w:ascii="Perpetua" w:hAnsi="Perpetua"/>
          <w:sz w:val="18"/>
          <w:szCs w:val="18"/>
        </w:rPr>
        <w:t xml:space="preserve"> (Studi e ricerche n. 5), Arezzo, 2003</w:t>
      </w:r>
    </w:p>
    <w:p w:rsidR="00027613" w:rsidRPr="004F5E49" w:rsidRDefault="00027613" w:rsidP="00027613">
      <w:pPr>
        <w:jc w:val="both"/>
        <w:rPr>
          <w:rFonts w:ascii="Perpetua" w:eastAsia="Batang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Luatti L., </w:t>
      </w:r>
      <w:smartTag w:uri="urn:schemas-microsoft-com:office:smarttags" w:element="PersonName">
        <w:smartTagPr>
          <w:attr w:name="ProductID" w:val="La Mastra M."/>
        </w:smartTagPr>
        <w:r w:rsidRPr="004F5E49">
          <w:rPr>
            <w:rFonts w:ascii="Perpetua" w:hAnsi="Perpetua"/>
            <w:sz w:val="18"/>
            <w:szCs w:val="18"/>
          </w:rPr>
          <w:t>La Mastra M.</w:t>
        </w:r>
      </w:smartTag>
      <w:r w:rsidRPr="004F5E49">
        <w:rPr>
          <w:rFonts w:ascii="Perpetua" w:hAnsi="Perpetua"/>
          <w:sz w:val="18"/>
          <w:szCs w:val="18"/>
        </w:rPr>
        <w:t xml:space="preserve"> (a cura di), </w:t>
      </w:r>
      <w:r w:rsidRPr="004F5E49">
        <w:rPr>
          <w:rFonts w:ascii="Perpetua" w:hAnsi="Perpetua"/>
          <w:i/>
          <w:sz w:val="18"/>
          <w:szCs w:val="18"/>
        </w:rPr>
        <w:t>Terzo Rapporto sull’immigrazione in provincia di Arezzo</w:t>
      </w:r>
      <w:r w:rsidRPr="004F5E49">
        <w:rPr>
          <w:rFonts w:ascii="Perpetua" w:hAnsi="Perpetua"/>
          <w:sz w:val="18"/>
          <w:szCs w:val="18"/>
        </w:rPr>
        <w:t xml:space="preserve">, </w:t>
      </w:r>
      <w:proofErr w:type="spellStart"/>
      <w:r w:rsidRPr="004F5E49">
        <w:rPr>
          <w:rFonts w:ascii="Perpetua" w:hAnsi="Perpetua"/>
          <w:sz w:val="18"/>
          <w:szCs w:val="18"/>
        </w:rPr>
        <w:t>Ucodep-Provincia</w:t>
      </w:r>
      <w:proofErr w:type="spellEnd"/>
      <w:r w:rsidRPr="004F5E49">
        <w:rPr>
          <w:rFonts w:ascii="Perpetua" w:hAnsi="Perpetua"/>
          <w:sz w:val="18"/>
          <w:szCs w:val="18"/>
        </w:rPr>
        <w:t xml:space="preserve"> di Arezzo, Arezzo, 2007</w:t>
      </w:r>
      <w:r w:rsidRPr="004F5E49">
        <w:rPr>
          <w:rFonts w:ascii="Perpetua" w:eastAsia="Batang" w:hAnsi="Perpetua"/>
          <w:sz w:val="18"/>
          <w:szCs w:val="18"/>
        </w:rPr>
        <w:t>.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eastAsia="Batang" w:hAnsi="Perpetua"/>
          <w:sz w:val="18"/>
          <w:szCs w:val="18"/>
        </w:rPr>
        <w:t xml:space="preserve">- Luatti L., Tizzi G., </w:t>
      </w:r>
      <w:smartTag w:uri="urn:schemas-microsoft-com:office:smarttags" w:element="PersonName">
        <w:smartTagPr>
          <w:attr w:name="ProductID" w:val="La Mastra M."/>
        </w:smartTagPr>
        <w:r w:rsidRPr="004F5E49">
          <w:rPr>
            <w:rFonts w:ascii="Perpetua" w:eastAsia="Batang" w:hAnsi="Perpetua"/>
            <w:sz w:val="18"/>
            <w:szCs w:val="18"/>
          </w:rPr>
          <w:t>La Mastra M.</w:t>
        </w:r>
      </w:smartTag>
      <w:r w:rsidRPr="004F5E49">
        <w:rPr>
          <w:rFonts w:ascii="Perpetua" w:eastAsia="Batang" w:hAnsi="Perpetua"/>
          <w:sz w:val="18"/>
          <w:szCs w:val="18"/>
        </w:rPr>
        <w:t xml:space="preserve"> (a cura di), </w:t>
      </w:r>
      <w:r w:rsidRPr="004F5E49">
        <w:rPr>
          <w:rFonts w:ascii="Perpetua" w:eastAsia="Batang" w:hAnsi="Perpetua"/>
          <w:i/>
          <w:sz w:val="18"/>
          <w:szCs w:val="18"/>
        </w:rPr>
        <w:t>Vivere insieme. Quarto rapporto sull’immigrazione e i processi di inclusione in provincia di Arezzo</w:t>
      </w:r>
      <w:r w:rsidRPr="004F5E49">
        <w:rPr>
          <w:rFonts w:ascii="Perpetua" w:eastAsia="Batang" w:hAnsi="Perpetua"/>
          <w:sz w:val="18"/>
          <w:szCs w:val="18"/>
        </w:rPr>
        <w:t>, Provincia di Arezzo, Oxfam Italia, Arezzo, 2012.</w:t>
      </w:r>
    </w:p>
    <w:p w:rsidR="00027613" w:rsidRPr="004F5E49" w:rsidRDefault="00027613" w:rsidP="00027613">
      <w:pPr>
        <w:jc w:val="both"/>
        <w:rPr>
          <w:rFonts w:ascii="Perpetua" w:eastAsia="Batang" w:hAnsi="Perpetua"/>
          <w:sz w:val="18"/>
          <w:szCs w:val="18"/>
        </w:rPr>
      </w:pPr>
    </w:p>
    <w:p w:rsidR="00027613" w:rsidRPr="004F5E49" w:rsidRDefault="00027613" w:rsidP="00027613">
      <w:pPr>
        <w:jc w:val="both"/>
        <w:rPr>
          <w:rFonts w:ascii="Perpetua" w:hAnsi="Perpetua"/>
          <w:b/>
          <w:sz w:val="18"/>
          <w:szCs w:val="18"/>
        </w:rPr>
      </w:pPr>
      <w:r w:rsidRPr="004F5E49">
        <w:rPr>
          <w:rFonts w:ascii="Perpetua" w:hAnsi="Perpetua"/>
          <w:b/>
          <w:sz w:val="18"/>
          <w:szCs w:val="18"/>
        </w:rPr>
        <w:t>Altri Rapporti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Luatti L., Rocchi S., </w:t>
      </w:r>
      <w:smartTag w:uri="urn:schemas-microsoft-com:office:smarttags" w:element="PersonName">
        <w:smartTagPr>
          <w:attr w:name="ProductID" w:val="La Mastra M.,"/>
        </w:smartTagPr>
        <w:r w:rsidRPr="004F5E49">
          <w:rPr>
            <w:rFonts w:ascii="Perpetua" w:hAnsi="Perpetua"/>
            <w:sz w:val="18"/>
            <w:szCs w:val="18"/>
          </w:rPr>
          <w:t>La Mastra M.,</w:t>
        </w:r>
      </w:smartTag>
      <w:r w:rsidRPr="004F5E49">
        <w:rPr>
          <w:rFonts w:ascii="Perpetua" w:hAnsi="Perpetua"/>
          <w:sz w:val="18"/>
          <w:szCs w:val="18"/>
        </w:rPr>
        <w:t xml:space="preserve"> </w:t>
      </w:r>
      <w:r w:rsidRPr="004F5E49">
        <w:rPr>
          <w:rFonts w:ascii="Perpetua" w:hAnsi="Perpetua"/>
          <w:i/>
          <w:sz w:val="18"/>
          <w:szCs w:val="18"/>
        </w:rPr>
        <w:t>Arezzo plurale. Immigrazione e mutamento sociale</w:t>
      </w:r>
      <w:r w:rsidRPr="004F5E49">
        <w:rPr>
          <w:rFonts w:ascii="Perpetua" w:hAnsi="Perpetua"/>
          <w:sz w:val="18"/>
          <w:szCs w:val="18"/>
        </w:rPr>
        <w:t xml:space="preserve">, Comune di Arezzo, Provincia di Arezzo, </w:t>
      </w:r>
      <w:proofErr w:type="spellStart"/>
      <w:r w:rsidRPr="004F5E49">
        <w:rPr>
          <w:rFonts w:ascii="Perpetua" w:hAnsi="Perpetua"/>
          <w:sz w:val="18"/>
          <w:szCs w:val="18"/>
        </w:rPr>
        <w:t>Ucodep</w:t>
      </w:r>
      <w:proofErr w:type="spellEnd"/>
      <w:r w:rsidRPr="004F5E49">
        <w:rPr>
          <w:rFonts w:ascii="Perpetua" w:hAnsi="Perpetua"/>
          <w:sz w:val="18"/>
          <w:szCs w:val="18"/>
        </w:rPr>
        <w:t>, 2009.</w:t>
      </w:r>
    </w:p>
    <w:p w:rsidR="00027613" w:rsidRPr="004F5E49" w:rsidRDefault="00027613" w:rsidP="00027613">
      <w:pPr>
        <w:jc w:val="both"/>
        <w:rPr>
          <w:rFonts w:ascii="Perpetua" w:hAnsi="Perpetua"/>
          <w:sz w:val="18"/>
          <w:szCs w:val="18"/>
        </w:rPr>
      </w:pPr>
      <w:r w:rsidRPr="004F5E49">
        <w:rPr>
          <w:rFonts w:ascii="Perpetua" w:hAnsi="Perpetua"/>
          <w:sz w:val="18"/>
          <w:szCs w:val="18"/>
        </w:rPr>
        <w:t xml:space="preserve">- Luatti L., Tizzi G., </w:t>
      </w:r>
      <w:smartTag w:uri="urn:schemas-microsoft-com:office:smarttags" w:element="PersonName">
        <w:smartTagPr>
          <w:attr w:name="ProductID" w:val="La Mastra M.,"/>
        </w:smartTagPr>
        <w:r w:rsidRPr="004F5E49">
          <w:rPr>
            <w:rFonts w:ascii="Perpetua" w:hAnsi="Perpetua"/>
            <w:sz w:val="18"/>
            <w:szCs w:val="18"/>
          </w:rPr>
          <w:t>La Mastra M.,</w:t>
        </w:r>
      </w:smartTag>
      <w:r w:rsidRPr="004F5E49">
        <w:rPr>
          <w:rFonts w:ascii="Perpetua" w:hAnsi="Perpetua"/>
          <w:sz w:val="18"/>
          <w:szCs w:val="18"/>
        </w:rPr>
        <w:t xml:space="preserve"> </w:t>
      </w:r>
      <w:r w:rsidRPr="004F5E49">
        <w:rPr>
          <w:rFonts w:ascii="Perpetua" w:hAnsi="Perpetua"/>
          <w:i/>
          <w:sz w:val="18"/>
          <w:szCs w:val="18"/>
        </w:rPr>
        <w:t>Arezzo plurale oggi e domani. Secondo rapporto sull’immigrazione nella città di Arezzo</w:t>
      </w:r>
      <w:r w:rsidRPr="004F5E49">
        <w:rPr>
          <w:rFonts w:ascii="Perpetua" w:hAnsi="Perpetua"/>
          <w:sz w:val="18"/>
          <w:szCs w:val="18"/>
        </w:rPr>
        <w:t>, Comune di Arezzo, Provincia di Arezzo, Oxfam Italia, 2011.</w:t>
      </w:r>
    </w:p>
    <w:p w:rsidR="00027613" w:rsidRPr="004F5E49" w:rsidRDefault="00027613" w:rsidP="00310DF9">
      <w:pPr>
        <w:rPr>
          <w:rFonts w:ascii="Perpetua" w:hAnsi="Perpetua"/>
          <w:sz w:val="18"/>
          <w:szCs w:val="18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p w:rsidR="00027613" w:rsidRPr="004F5E49" w:rsidRDefault="00027613" w:rsidP="00310DF9">
      <w:pPr>
        <w:rPr>
          <w:rFonts w:ascii="Perpetua" w:hAnsi="Perpetua"/>
        </w:rPr>
      </w:pPr>
    </w:p>
    <w:sectPr w:rsidR="00027613" w:rsidRPr="004F5E49" w:rsidSect="00C85136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33" w:rsidRDefault="002B0933" w:rsidP="00505559">
      <w:r>
        <w:separator/>
      </w:r>
    </w:p>
  </w:endnote>
  <w:endnote w:type="continuationSeparator" w:id="0">
    <w:p w:rsidR="002B0933" w:rsidRDefault="002B0933" w:rsidP="0050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6231"/>
      <w:docPartObj>
        <w:docPartGallery w:val="Page Numbers (Bottom of Page)"/>
        <w:docPartUnique/>
      </w:docPartObj>
    </w:sdtPr>
    <w:sdtContent>
      <w:p w:rsidR="0012034E" w:rsidRDefault="00F8300E">
        <w:pPr>
          <w:pStyle w:val="Pidipagina"/>
          <w:jc w:val="center"/>
        </w:pPr>
        <w:r w:rsidRPr="00505559">
          <w:rPr>
            <w:sz w:val="20"/>
            <w:szCs w:val="20"/>
          </w:rPr>
          <w:fldChar w:fldCharType="begin"/>
        </w:r>
        <w:r w:rsidR="0012034E" w:rsidRPr="00505559">
          <w:rPr>
            <w:sz w:val="20"/>
            <w:szCs w:val="20"/>
          </w:rPr>
          <w:instrText xml:space="preserve"> PAGE   \* MERGEFORMAT </w:instrText>
        </w:r>
        <w:r w:rsidRPr="00505559">
          <w:rPr>
            <w:sz w:val="20"/>
            <w:szCs w:val="20"/>
          </w:rPr>
          <w:fldChar w:fldCharType="separate"/>
        </w:r>
        <w:r w:rsidR="000F7FDC">
          <w:rPr>
            <w:noProof/>
            <w:sz w:val="20"/>
            <w:szCs w:val="20"/>
          </w:rPr>
          <w:t>14</w:t>
        </w:r>
        <w:r w:rsidRPr="00505559">
          <w:rPr>
            <w:sz w:val="20"/>
            <w:szCs w:val="20"/>
          </w:rPr>
          <w:fldChar w:fldCharType="end"/>
        </w:r>
      </w:p>
    </w:sdtContent>
  </w:sdt>
  <w:p w:rsidR="0012034E" w:rsidRDefault="00120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33" w:rsidRDefault="002B0933" w:rsidP="00505559">
      <w:r>
        <w:separator/>
      </w:r>
    </w:p>
  </w:footnote>
  <w:footnote w:type="continuationSeparator" w:id="0">
    <w:p w:rsidR="002B0933" w:rsidRDefault="002B0933" w:rsidP="00505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088"/>
    <w:multiLevelType w:val="hybridMultilevel"/>
    <w:tmpl w:val="D7EE72C4"/>
    <w:lvl w:ilvl="0" w:tplc="24A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F6B86"/>
    <w:multiLevelType w:val="hybridMultilevel"/>
    <w:tmpl w:val="ABFE9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6694"/>
    <w:multiLevelType w:val="hybridMultilevel"/>
    <w:tmpl w:val="8FC4F024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F0F25"/>
    <w:multiLevelType w:val="hybridMultilevel"/>
    <w:tmpl w:val="D7EE72C4"/>
    <w:lvl w:ilvl="0" w:tplc="24A8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C1"/>
    <w:rsid w:val="00017888"/>
    <w:rsid w:val="00027613"/>
    <w:rsid w:val="000357E0"/>
    <w:rsid w:val="00042451"/>
    <w:rsid w:val="000D17D6"/>
    <w:rsid w:val="000D613C"/>
    <w:rsid w:val="000F35D3"/>
    <w:rsid w:val="000F7FDC"/>
    <w:rsid w:val="001015E7"/>
    <w:rsid w:val="00110586"/>
    <w:rsid w:val="0012034E"/>
    <w:rsid w:val="0015156F"/>
    <w:rsid w:val="001E16F9"/>
    <w:rsid w:val="001F41B2"/>
    <w:rsid w:val="0022527F"/>
    <w:rsid w:val="00271B0D"/>
    <w:rsid w:val="0027451F"/>
    <w:rsid w:val="002B0933"/>
    <w:rsid w:val="00310DF9"/>
    <w:rsid w:val="00315E6F"/>
    <w:rsid w:val="003230E1"/>
    <w:rsid w:val="00370C8A"/>
    <w:rsid w:val="00377973"/>
    <w:rsid w:val="0040746D"/>
    <w:rsid w:val="0041604B"/>
    <w:rsid w:val="00456279"/>
    <w:rsid w:val="004F3206"/>
    <w:rsid w:val="004F5E49"/>
    <w:rsid w:val="00505559"/>
    <w:rsid w:val="005D5443"/>
    <w:rsid w:val="005E4394"/>
    <w:rsid w:val="005F1F62"/>
    <w:rsid w:val="00604E53"/>
    <w:rsid w:val="00605E1E"/>
    <w:rsid w:val="006A38DC"/>
    <w:rsid w:val="006C0701"/>
    <w:rsid w:val="006F5704"/>
    <w:rsid w:val="007809A3"/>
    <w:rsid w:val="007B1173"/>
    <w:rsid w:val="007F7B68"/>
    <w:rsid w:val="00860790"/>
    <w:rsid w:val="0088675B"/>
    <w:rsid w:val="0089068C"/>
    <w:rsid w:val="00897DDE"/>
    <w:rsid w:val="008B6CD2"/>
    <w:rsid w:val="008B7A01"/>
    <w:rsid w:val="008C7F94"/>
    <w:rsid w:val="008D252F"/>
    <w:rsid w:val="008D2C38"/>
    <w:rsid w:val="008F7EE8"/>
    <w:rsid w:val="009178C1"/>
    <w:rsid w:val="00951635"/>
    <w:rsid w:val="0097391D"/>
    <w:rsid w:val="0098638F"/>
    <w:rsid w:val="00996AAC"/>
    <w:rsid w:val="009B1E7F"/>
    <w:rsid w:val="009F02E4"/>
    <w:rsid w:val="00A26759"/>
    <w:rsid w:val="00A51EA7"/>
    <w:rsid w:val="00B05B72"/>
    <w:rsid w:val="00B96AE2"/>
    <w:rsid w:val="00BA1B3F"/>
    <w:rsid w:val="00BC22C3"/>
    <w:rsid w:val="00C85136"/>
    <w:rsid w:val="00C91CCB"/>
    <w:rsid w:val="00CF35B3"/>
    <w:rsid w:val="00D27638"/>
    <w:rsid w:val="00D75509"/>
    <w:rsid w:val="00E270AE"/>
    <w:rsid w:val="00EF5DB2"/>
    <w:rsid w:val="00F57EB5"/>
    <w:rsid w:val="00F8300E"/>
    <w:rsid w:val="00F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8C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E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55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5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55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5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5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605E1E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05E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05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vincia.arezzo.i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.luatti\Desktop\Presentazione%20Dossier%20Statistico%202014\DATI%20SEZIONE%20IMMI\Tabelle%20Per%20Report_daP3_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.luatti\Desktop\Presentazione%20Dossier%20Statistico%202014\DATI%20SEZIONE%20IMMI\Tabelle%20Per%20Report_daP3_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.luatti\Desktop\Presentazione%20Dossier%20Statistico%202014\DATI%20SEZIONE%20IMMI\Tabelle%20Per%20Report_daP3_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.luatti\Desktop\Presentazione%20Dossier%20Statistico%202014\DATI%20SEZIONE%20IMMI\Tabelle%20Per%20Report_daP3_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6.3212435233160877E-2"/>
          <c:y val="3.5714285714285712E-2"/>
          <c:w val="0.9264248704663216"/>
          <c:h val="0.89455782312925158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cat>
            <c:numRef>
              <c:f>'1.2'!$A$5:$A$18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'1.2'!$B$5:$B$18</c:f>
              <c:numCache>
                <c:formatCode>#,##0</c:formatCode>
                <c:ptCount val="14"/>
                <c:pt idx="0">
                  <c:v>11626</c:v>
                </c:pt>
                <c:pt idx="1">
                  <c:v>13283</c:v>
                </c:pt>
                <c:pt idx="2">
                  <c:v>13647</c:v>
                </c:pt>
                <c:pt idx="3">
                  <c:v>17322</c:v>
                </c:pt>
                <c:pt idx="4">
                  <c:v>20263</c:v>
                </c:pt>
                <c:pt idx="5">
                  <c:v>22526</c:v>
                </c:pt>
                <c:pt idx="6">
                  <c:v>24041</c:v>
                </c:pt>
                <c:pt idx="7">
                  <c:v>29278</c:v>
                </c:pt>
                <c:pt idx="8">
                  <c:v>33074</c:v>
                </c:pt>
                <c:pt idx="9">
                  <c:v>35516</c:v>
                </c:pt>
                <c:pt idx="10">
                  <c:v>37691</c:v>
                </c:pt>
                <c:pt idx="11">
                  <c:v>39480</c:v>
                </c:pt>
                <c:pt idx="12">
                  <c:v>40326</c:v>
                </c:pt>
                <c:pt idx="13">
                  <c:v>37598</c:v>
                </c:pt>
              </c:numCache>
            </c:numRef>
          </c:val>
        </c:ser>
        <c:axId val="123179776"/>
        <c:axId val="123252096"/>
      </c:barChart>
      <c:catAx>
        <c:axId val="1231797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3252096"/>
        <c:crosses val="autoZero"/>
        <c:auto val="1"/>
        <c:lblAlgn val="ctr"/>
        <c:lblOffset val="100"/>
        <c:tickLblSkip val="1"/>
        <c:tickMarkSkip val="1"/>
      </c:catAx>
      <c:valAx>
        <c:axId val="123252096"/>
        <c:scaling>
          <c:orientation val="minMax"/>
          <c:max val="420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31797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6.5637658023604079E-2"/>
          <c:y val="7.3138015442077195E-2"/>
          <c:w val="0.89119170984455953"/>
          <c:h val="0.84353741496598644"/>
        </c:manualLayout>
      </c:layout>
      <c:barChart>
        <c:barDir val="col"/>
        <c:grouping val="clustered"/>
        <c:ser>
          <c:idx val="0"/>
          <c:order val="0"/>
          <c:tx>
            <c:strRef>
              <c:f>'dati graf 1.2'!$A$4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'dati graf 1.2'!$B$3:$L$3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'dati graf 1.2'!$B$4:$L$4</c:f>
              <c:numCache>
                <c:formatCode>General</c:formatCode>
                <c:ptCount val="11"/>
                <c:pt idx="0">
                  <c:v>6845</c:v>
                </c:pt>
                <c:pt idx="1">
                  <c:v>8762</c:v>
                </c:pt>
                <c:pt idx="2">
                  <c:v>10231</c:v>
                </c:pt>
                <c:pt idx="3">
                  <c:v>11251</c:v>
                </c:pt>
                <c:pt idx="4">
                  <c:v>11916</c:v>
                </c:pt>
                <c:pt idx="5">
                  <c:v>14254</c:v>
                </c:pt>
                <c:pt idx="6">
                  <c:v>16044</c:v>
                </c:pt>
                <c:pt idx="7">
                  <c:v>17121</c:v>
                </c:pt>
                <c:pt idx="8">
                  <c:v>18016</c:v>
                </c:pt>
                <c:pt idx="9">
                  <c:v>19103</c:v>
                </c:pt>
                <c:pt idx="10">
                  <c:v>17379</c:v>
                </c:pt>
              </c:numCache>
            </c:numRef>
          </c:val>
        </c:ser>
        <c:ser>
          <c:idx val="1"/>
          <c:order val="1"/>
          <c:tx>
            <c:strRef>
              <c:f>'dati graf 1.2'!$A$5</c:f>
              <c:strCache>
                <c:ptCount val="1"/>
                <c:pt idx="0">
                  <c:v>F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'dati graf 1.2'!$B$3:$L$3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'dati graf 1.2'!$B$5:$L$5</c:f>
              <c:numCache>
                <c:formatCode>General</c:formatCode>
                <c:ptCount val="11"/>
                <c:pt idx="0">
                  <c:v>6724</c:v>
                </c:pt>
                <c:pt idx="1">
                  <c:v>8560</c:v>
                </c:pt>
                <c:pt idx="2">
                  <c:v>10036</c:v>
                </c:pt>
                <c:pt idx="3">
                  <c:v>11275</c:v>
                </c:pt>
                <c:pt idx="4">
                  <c:v>12132</c:v>
                </c:pt>
                <c:pt idx="5">
                  <c:v>15024</c:v>
                </c:pt>
                <c:pt idx="6">
                  <c:v>17028</c:v>
                </c:pt>
                <c:pt idx="7">
                  <c:v>18392</c:v>
                </c:pt>
                <c:pt idx="8">
                  <c:v>19675</c:v>
                </c:pt>
                <c:pt idx="9">
                  <c:v>21223</c:v>
                </c:pt>
                <c:pt idx="10">
                  <c:v>20219</c:v>
                </c:pt>
              </c:numCache>
            </c:numRef>
          </c:val>
        </c:ser>
        <c:axId val="123015552"/>
        <c:axId val="123017088"/>
      </c:barChart>
      <c:catAx>
        <c:axId val="1230155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123017088"/>
        <c:crosses val="autoZero"/>
        <c:auto val="1"/>
        <c:lblAlgn val="ctr"/>
        <c:lblOffset val="100"/>
        <c:tickLblSkip val="1"/>
        <c:tickMarkSkip val="1"/>
      </c:catAx>
      <c:valAx>
        <c:axId val="123017088"/>
        <c:scaling>
          <c:orientation val="minMax"/>
          <c:max val="230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1230155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4300518134715031E-2"/>
          <c:y val="0.19047619047619127"/>
          <c:w val="0.10090793127122252"/>
          <c:h val="7.3129251700680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4.9090639636305784E-2"/>
          <c:y val="4.8792460083589917E-3"/>
          <c:w val="0.93160621761658435"/>
          <c:h val="0.91666666666666652"/>
        </c:manualLayout>
      </c:layout>
      <c:barChart>
        <c:barDir val="bar"/>
        <c:grouping val="stacked"/>
        <c:ser>
          <c:idx val="0"/>
          <c:order val="0"/>
          <c:tx>
            <c:strRef>
              <c:f>tavola_popolazione_età_2013!$L$2</c:f>
              <c:strCache>
                <c:ptCount val="1"/>
                <c:pt idx="0">
                  <c:v>stranieri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'tavola_popolazione_età_2013 (2)'!$A$3:$A$23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e +</c:v>
                </c:pt>
              </c:strCache>
            </c:strRef>
          </c:cat>
          <c:val>
            <c:numRef>
              <c:f>'tavola_popolazione_età_2013 (2)'!$L$3:$L$23</c:f>
              <c:numCache>
                <c:formatCode>0.0%</c:formatCode>
                <c:ptCount val="21"/>
                <c:pt idx="0">
                  <c:v>-7.2583648066386508E-2</c:v>
                </c:pt>
                <c:pt idx="1">
                  <c:v>-6.0827703601255383E-2</c:v>
                </c:pt>
                <c:pt idx="2">
                  <c:v>-5.1039948933453906E-2</c:v>
                </c:pt>
                <c:pt idx="3">
                  <c:v>-5.0428214266716433E-2</c:v>
                </c:pt>
                <c:pt idx="4">
                  <c:v>-6.9897334964626107E-2</c:v>
                </c:pt>
                <c:pt idx="5">
                  <c:v>-0.11003244853449651</c:v>
                </c:pt>
                <c:pt idx="6">
                  <c:v>-0.1222139475504018</c:v>
                </c:pt>
                <c:pt idx="7">
                  <c:v>-0.11851694239055269</c:v>
                </c:pt>
                <c:pt idx="8">
                  <c:v>-0.10005851375073141</c:v>
                </c:pt>
                <c:pt idx="9">
                  <c:v>-7.8833980530879394E-2</c:v>
                </c:pt>
                <c:pt idx="10">
                  <c:v>-5.9949997340284084E-2</c:v>
                </c:pt>
                <c:pt idx="11">
                  <c:v>-4.4896005106654632E-2</c:v>
                </c:pt>
                <c:pt idx="12">
                  <c:v>-2.6145007713176346E-2</c:v>
                </c:pt>
                <c:pt idx="13">
                  <c:v>-1.4043300175541238E-2</c:v>
                </c:pt>
                <c:pt idx="14">
                  <c:v>-1.03728921751157E-2</c:v>
                </c:pt>
                <c:pt idx="15">
                  <c:v>-5.8513750731421996E-3</c:v>
                </c:pt>
                <c:pt idx="16">
                  <c:v>-2.8990903771477206E-3</c:v>
                </c:pt>
                <c:pt idx="17">
                  <c:v>-9.5749773924144906E-4</c:v>
                </c:pt>
                <c:pt idx="18">
                  <c:v>-3.7236023192723162E-4</c:v>
                </c:pt>
                <c:pt idx="19">
                  <c:v>-7.9791478270121107E-5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tavola_popolazione_età_2013!$M$2</c:f>
              <c:strCache>
                <c:ptCount val="1"/>
                <c:pt idx="0">
                  <c:v>Italiani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'tavola_popolazione_età_2013 (2)'!$A$3:$A$23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e +</c:v>
                </c:pt>
              </c:strCache>
            </c:strRef>
          </c:cat>
          <c:val>
            <c:numRef>
              <c:f>'tavola_popolazione_età_2013 (2)'!$M$3:$M$23</c:f>
              <c:numCache>
                <c:formatCode>0.0%</c:formatCode>
                <c:ptCount val="21"/>
                <c:pt idx="0">
                  <c:v>3.8044023386817581E-2</c:v>
                </c:pt>
                <c:pt idx="1">
                  <c:v>4.2221165264039809E-2</c:v>
                </c:pt>
                <c:pt idx="2">
                  <c:v>4.1544927733180616E-2</c:v>
                </c:pt>
                <c:pt idx="3">
                  <c:v>4.1205191174614846E-2</c:v>
                </c:pt>
                <c:pt idx="4">
                  <c:v>4.3411861012156099E-2</c:v>
                </c:pt>
                <c:pt idx="5">
                  <c:v>4.5815901612292723E-2</c:v>
                </c:pt>
                <c:pt idx="6">
                  <c:v>5.0970190543675561E-2</c:v>
                </c:pt>
                <c:pt idx="7">
                  <c:v>6.5701814840340211E-2</c:v>
                </c:pt>
                <c:pt idx="8">
                  <c:v>7.666721671633292E-2</c:v>
                </c:pt>
                <c:pt idx="9">
                  <c:v>8.0973782044437531E-2</c:v>
                </c:pt>
                <c:pt idx="10">
                  <c:v>7.4767927574637183E-2</c:v>
                </c:pt>
                <c:pt idx="11">
                  <c:v>6.7714349501557941E-2</c:v>
                </c:pt>
                <c:pt idx="12">
                  <c:v>6.6750144792485672E-2</c:v>
                </c:pt>
                <c:pt idx="13">
                  <c:v>6.7261367423470289E-2</c:v>
                </c:pt>
                <c:pt idx="14">
                  <c:v>5.7868460475695903E-2</c:v>
                </c:pt>
                <c:pt idx="15">
                  <c:v>5.3943694327693879E-2</c:v>
                </c:pt>
                <c:pt idx="16">
                  <c:v>4.1910548981922778E-2</c:v>
                </c:pt>
                <c:pt idx="17">
                  <c:v>2.851522181561688E-2</c:v>
                </c:pt>
                <c:pt idx="18">
                  <c:v>1.2395531008241039E-2</c:v>
                </c:pt>
                <c:pt idx="19">
                  <c:v>1.9284094181445249E-3</c:v>
                </c:pt>
                <c:pt idx="20">
                  <c:v>3.8827035264654876E-4</c:v>
                </c:pt>
              </c:numCache>
            </c:numRef>
          </c:val>
        </c:ser>
        <c:gapWidth val="0"/>
        <c:overlap val="100"/>
        <c:axId val="123054720"/>
        <c:axId val="123072896"/>
      </c:barChart>
      <c:catAx>
        <c:axId val="1230547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3072896"/>
        <c:crosses val="autoZero"/>
        <c:auto val="1"/>
        <c:lblAlgn val="ctr"/>
        <c:lblOffset val="100"/>
        <c:tickLblSkip val="1"/>
        <c:tickMarkSkip val="1"/>
      </c:catAx>
      <c:valAx>
        <c:axId val="123072896"/>
        <c:scaling>
          <c:orientation val="minMax"/>
          <c:max val="0.15000000000000024"/>
          <c:min val="-0.15000000000000024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30547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03407772802093"/>
          <c:y val="0.12414965986394559"/>
          <c:w val="0.25136153604779493"/>
          <c:h val="5.442176870748295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plotArea>
      <c:layout>
        <c:manualLayout>
          <c:layoutTarget val="inner"/>
          <c:xMode val="edge"/>
          <c:yMode val="edge"/>
          <c:x val="3.7305743505448435E-2"/>
          <c:y val="5.2729770085105217E-2"/>
          <c:w val="0.95129533678756473"/>
          <c:h val="0.88435374149659851"/>
        </c:manualLayout>
      </c:layout>
      <c:lineChart>
        <c:grouping val="standard"/>
        <c:ser>
          <c:idx val="0"/>
          <c:order val="0"/>
          <c:tx>
            <c:v>1997</c:v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'1.9'!$A$5:$A$23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 e +</c:v>
                </c:pt>
              </c:strCache>
            </c:strRef>
          </c:cat>
          <c:val>
            <c:numRef>
              <c:f>'1.9'!$B$5:$B$23</c:f>
              <c:numCache>
                <c:formatCode>General</c:formatCode>
                <c:ptCount val="19"/>
                <c:pt idx="0">
                  <c:v>7.5</c:v>
                </c:pt>
                <c:pt idx="1">
                  <c:v>6.1</c:v>
                </c:pt>
                <c:pt idx="2">
                  <c:v>4.7</c:v>
                </c:pt>
                <c:pt idx="3">
                  <c:v>5.8</c:v>
                </c:pt>
                <c:pt idx="4">
                  <c:v>8.8000000000000007</c:v>
                </c:pt>
                <c:pt idx="5">
                  <c:v>16.600000000000001</c:v>
                </c:pt>
                <c:pt idx="6">
                  <c:v>18.100000000000001</c:v>
                </c:pt>
                <c:pt idx="7">
                  <c:v>12.8</c:v>
                </c:pt>
                <c:pt idx="8">
                  <c:v>8.6</c:v>
                </c:pt>
                <c:pt idx="9">
                  <c:v>4.5</c:v>
                </c:pt>
                <c:pt idx="10">
                  <c:v>2.1</c:v>
                </c:pt>
                <c:pt idx="11">
                  <c:v>1.4</c:v>
                </c:pt>
                <c:pt idx="12">
                  <c:v>0.8</c:v>
                </c:pt>
                <c:pt idx="13">
                  <c:v>0.70000000000000029</c:v>
                </c:pt>
                <c:pt idx="14">
                  <c:v>0.70000000000000029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</c:ser>
        <c:ser>
          <c:idx val="1"/>
          <c:order val="1"/>
          <c:tx>
            <c:v>2003</c:v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'1.9'!$A$5:$A$23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 e +</c:v>
                </c:pt>
              </c:strCache>
            </c:strRef>
          </c:cat>
          <c:val>
            <c:numRef>
              <c:f>'1.9'!$C$5:$C$23</c:f>
              <c:numCache>
                <c:formatCode>General</c:formatCode>
                <c:ptCount val="19"/>
                <c:pt idx="0">
                  <c:v>7.7</c:v>
                </c:pt>
                <c:pt idx="1">
                  <c:v>5.9</c:v>
                </c:pt>
                <c:pt idx="2">
                  <c:v>5.2</c:v>
                </c:pt>
                <c:pt idx="3">
                  <c:v>5.6</c:v>
                </c:pt>
                <c:pt idx="4">
                  <c:v>11.2</c:v>
                </c:pt>
                <c:pt idx="5">
                  <c:v>15.6</c:v>
                </c:pt>
                <c:pt idx="6">
                  <c:v>14.8</c:v>
                </c:pt>
                <c:pt idx="7">
                  <c:v>11.7</c:v>
                </c:pt>
                <c:pt idx="8">
                  <c:v>8.4</c:v>
                </c:pt>
                <c:pt idx="9">
                  <c:v>6</c:v>
                </c:pt>
                <c:pt idx="10">
                  <c:v>3.3</c:v>
                </c:pt>
                <c:pt idx="11">
                  <c:v>1.6</c:v>
                </c:pt>
                <c:pt idx="12">
                  <c:v>1.1000000000000001</c:v>
                </c:pt>
                <c:pt idx="13">
                  <c:v>0.8</c:v>
                </c:pt>
                <c:pt idx="14">
                  <c:v>0.5</c:v>
                </c:pt>
                <c:pt idx="15">
                  <c:v>0.4</c:v>
                </c:pt>
                <c:pt idx="16">
                  <c:v>0.2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</c:ser>
        <c:ser>
          <c:idx val="3"/>
          <c:order val="2"/>
          <c:tx>
            <c:v>2008</c:v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'1.9'!$A$5:$A$23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 e +</c:v>
                </c:pt>
              </c:strCache>
            </c:strRef>
          </c:cat>
          <c:val>
            <c:numRef>
              <c:f>'1.9'!$E$5:$E$23</c:f>
              <c:numCache>
                <c:formatCode>General</c:formatCode>
                <c:ptCount val="19"/>
                <c:pt idx="0">
                  <c:v>7.3</c:v>
                </c:pt>
                <c:pt idx="1">
                  <c:v>6</c:v>
                </c:pt>
                <c:pt idx="2">
                  <c:v>5.3</c:v>
                </c:pt>
                <c:pt idx="3">
                  <c:v>5.2</c:v>
                </c:pt>
                <c:pt idx="4">
                  <c:v>9.2000000000000011</c:v>
                </c:pt>
                <c:pt idx="5">
                  <c:v>13.2</c:v>
                </c:pt>
                <c:pt idx="6">
                  <c:v>13.8</c:v>
                </c:pt>
                <c:pt idx="7">
                  <c:v>11.8</c:v>
                </c:pt>
                <c:pt idx="8">
                  <c:v>9.4</c:v>
                </c:pt>
                <c:pt idx="9">
                  <c:v>6.9</c:v>
                </c:pt>
                <c:pt idx="10">
                  <c:v>5.0999999999999996</c:v>
                </c:pt>
                <c:pt idx="11">
                  <c:v>2.8</c:v>
                </c:pt>
                <c:pt idx="12">
                  <c:v>1.5</c:v>
                </c:pt>
                <c:pt idx="13">
                  <c:v>1.1000000000000001</c:v>
                </c:pt>
                <c:pt idx="14">
                  <c:v>0.60000000000000031</c:v>
                </c:pt>
                <c:pt idx="15">
                  <c:v>0.30000000000000016</c:v>
                </c:pt>
                <c:pt idx="16">
                  <c:v>0.2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</c:ser>
        <c:ser>
          <c:idx val="2"/>
          <c:order val="3"/>
          <c:tx>
            <c:v>2013</c:v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none"/>
          </c:marker>
          <c:val>
            <c:numRef>
              <c:f>'1.9'!$J$5:$J$23</c:f>
              <c:numCache>
                <c:formatCode>0.0</c:formatCode>
                <c:ptCount val="19"/>
                <c:pt idx="0">
                  <c:v>7.2583648066386495</c:v>
                </c:pt>
                <c:pt idx="1">
                  <c:v>6.0827703601255365</c:v>
                </c:pt>
                <c:pt idx="2">
                  <c:v>5.103994893345388</c:v>
                </c:pt>
                <c:pt idx="3">
                  <c:v>5.0428214266716314</c:v>
                </c:pt>
                <c:pt idx="4">
                  <c:v>6.9897334964625824</c:v>
                </c:pt>
                <c:pt idx="5">
                  <c:v>11.003244853449662</c:v>
                </c:pt>
                <c:pt idx="6">
                  <c:v>12.221394755040157</c:v>
                </c:pt>
                <c:pt idx="7">
                  <c:v>11.851694239055281</c:v>
                </c:pt>
                <c:pt idx="8">
                  <c:v>10.005851375073142</c:v>
                </c:pt>
                <c:pt idx="9">
                  <c:v>7.8833980530879293</c:v>
                </c:pt>
                <c:pt idx="10">
                  <c:v>5.994999734028406</c:v>
                </c:pt>
                <c:pt idx="11">
                  <c:v>4.4896005106654613</c:v>
                </c:pt>
                <c:pt idx="12">
                  <c:v>2.6145007713176245</c:v>
                </c:pt>
                <c:pt idx="13">
                  <c:v>1.4043300175541238</c:v>
                </c:pt>
                <c:pt idx="14">
                  <c:v>1.0372892175115698</c:v>
                </c:pt>
                <c:pt idx="15">
                  <c:v>0.58513750731421843</c:v>
                </c:pt>
                <c:pt idx="16">
                  <c:v>0.28990903771477222</c:v>
                </c:pt>
                <c:pt idx="17">
                  <c:v>9.5749773924144924E-2</c:v>
                </c:pt>
                <c:pt idx="18">
                  <c:v>0</c:v>
                </c:pt>
              </c:numCache>
            </c:numRef>
          </c:val>
        </c:ser>
        <c:marker val="1"/>
        <c:axId val="123110528"/>
        <c:axId val="123112064"/>
      </c:lineChart>
      <c:catAx>
        <c:axId val="1231105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3112064"/>
        <c:crosses val="autoZero"/>
        <c:auto val="1"/>
        <c:lblAlgn val="ctr"/>
        <c:lblOffset val="100"/>
        <c:tickLblSkip val="1"/>
        <c:tickMarkSkip val="1"/>
      </c:catAx>
      <c:valAx>
        <c:axId val="123112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231105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5544041450777293"/>
          <c:y val="0.20918367346938777"/>
          <c:w val="0.30569948186528534"/>
          <c:h val="0.2517006802721088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2EBD-CA13-4C22-B1D8-805204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14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l.luatti</dc:creator>
  <cp:keywords/>
  <dc:description/>
  <cp:lastModifiedBy>l.luatti</cp:lastModifiedBy>
  <cp:revision>24</cp:revision>
  <dcterms:created xsi:type="dcterms:W3CDTF">2014-12-09T08:14:00Z</dcterms:created>
  <dcterms:modified xsi:type="dcterms:W3CDTF">2014-12-30T13:23:00Z</dcterms:modified>
</cp:coreProperties>
</file>