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E72FE" w14:textId="79454649" w:rsidR="00FE1C4F" w:rsidRPr="003125CF" w:rsidRDefault="004714E4" w:rsidP="00FE1C4F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5680" behindDoc="1" locked="0" layoutInCell="1" allowOverlap="1" wp14:anchorId="70E49E46" wp14:editId="45853BEF">
            <wp:simplePos x="0" y="0"/>
            <wp:positionH relativeFrom="column">
              <wp:posOffset>-426720</wp:posOffset>
            </wp:positionH>
            <wp:positionV relativeFrom="paragraph">
              <wp:posOffset>-581025</wp:posOffset>
            </wp:positionV>
            <wp:extent cx="6949440" cy="10058400"/>
            <wp:effectExtent l="0" t="0" r="381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aseej_Pattern_A4_100%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944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B1C">
        <w:rPr>
          <w:rFonts w:ascii="Arial" w:hAnsi="Arial" w:cs="Arial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57728" behindDoc="0" locked="0" layoutInCell="1" allowOverlap="1" wp14:anchorId="61D48967" wp14:editId="36D04B87">
            <wp:simplePos x="0" y="0"/>
            <wp:positionH relativeFrom="margin">
              <wp:posOffset>1264920</wp:posOffset>
            </wp:positionH>
            <wp:positionV relativeFrom="paragraph">
              <wp:posOffset>0</wp:posOffset>
            </wp:positionV>
            <wp:extent cx="3596640" cy="1993265"/>
            <wp:effectExtent l="0" t="0" r="0" b="0"/>
            <wp:wrapSquare wrapText="bothSides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aseej_Logotipo + Payoff_Colori_SfondoTrasparent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199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DE65F2" w14:textId="36735243" w:rsidR="00FE1C4F" w:rsidRDefault="00FE1C4F" w:rsidP="00FE1C4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4FF9CF6D" w14:textId="6170DFC8" w:rsidR="00FE1C4F" w:rsidRDefault="00FE1C4F" w:rsidP="00FE1C4F">
      <w:pPr>
        <w:rPr>
          <w:rFonts w:ascii="Arial" w:hAnsi="Arial" w:cs="Arial"/>
          <w:sz w:val="20"/>
          <w:szCs w:val="20"/>
          <w:lang w:val="en-US"/>
        </w:rPr>
      </w:pPr>
    </w:p>
    <w:p w14:paraId="3D97729F" w14:textId="77777777" w:rsidR="00FE1C4F" w:rsidRDefault="00FE1C4F" w:rsidP="00FE1C4F">
      <w:pPr>
        <w:jc w:val="both"/>
        <w:rPr>
          <w:rFonts w:ascii="Arial" w:hAnsi="Arial" w:cs="Arial"/>
          <w:b/>
          <w:bCs/>
          <w:lang w:val="en-US"/>
        </w:rPr>
      </w:pPr>
      <w:bookmarkStart w:id="0" w:name="_GoBack"/>
      <w:bookmarkEnd w:id="0"/>
    </w:p>
    <w:p w14:paraId="7615186C" w14:textId="2B5E71E3" w:rsidR="00FE1C4F" w:rsidRDefault="00FE1C4F" w:rsidP="00FE1C4F">
      <w:pPr>
        <w:jc w:val="center"/>
        <w:rPr>
          <w:rFonts w:ascii="Arial" w:hAnsi="Arial" w:cs="Arial"/>
          <w:b/>
          <w:bCs/>
          <w:sz w:val="30"/>
          <w:szCs w:val="30"/>
          <w:u w:val="single"/>
          <w:lang w:val="en-US"/>
        </w:rPr>
      </w:pPr>
    </w:p>
    <w:p w14:paraId="2256DF32" w14:textId="1D9BFC72" w:rsidR="00FE1C4F" w:rsidRDefault="00FE1C4F" w:rsidP="00FE1C4F">
      <w:pPr>
        <w:jc w:val="center"/>
        <w:rPr>
          <w:rFonts w:ascii="Arial" w:hAnsi="Arial" w:cs="Arial"/>
          <w:b/>
          <w:bCs/>
          <w:sz w:val="30"/>
          <w:szCs w:val="30"/>
          <w:u w:val="single"/>
          <w:lang w:val="en-US"/>
        </w:rPr>
      </w:pPr>
    </w:p>
    <w:p w14:paraId="79BD53A8" w14:textId="77777777" w:rsidR="00FE1C4F" w:rsidRDefault="00FE1C4F" w:rsidP="00FE1C4F">
      <w:pPr>
        <w:jc w:val="center"/>
        <w:rPr>
          <w:rFonts w:ascii="Arial" w:hAnsi="Arial" w:cs="Arial"/>
          <w:b/>
          <w:bCs/>
          <w:sz w:val="30"/>
          <w:szCs w:val="30"/>
          <w:u w:val="single"/>
          <w:lang w:val="en-US"/>
        </w:rPr>
      </w:pPr>
    </w:p>
    <w:p w14:paraId="6F3F53B5" w14:textId="77777777" w:rsidR="00FE1C4F" w:rsidRDefault="00FE1C4F" w:rsidP="00FE1C4F">
      <w:pPr>
        <w:jc w:val="center"/>
        <w:rPr>
          <w:rFonts w:ascii="Arial" w:hAnsi="Arial" w:cs="Arial"/>
          <w:b/>
          <w:bCs/>
          <w:sz w:val="30"/>
          <w:szCs w:val="30"/>
          <w:u w:val="single"/>
          <w:lang w:val="en-US"/>
        </w:rPr>
      </w:pPr>
    </w:p>
    <w:p w14:paraId="6B7B345F" w14:textId="77777777" w:rsidR="00FE1C4F" w:rsidRDefault="00FE1C4F" w:rsidP="00FE1C4F">
      <w:pPr>
        <w:jc w:val="center"/>
        <w:rPr>
          <w:rFonts w:ascii="Arial" w:hAnsi="Arial" w:cs="Arial"/>
          <w:b/>
          <w:bCs/>
          <w:sz w:val="30"/>
          <w:szCs w:val="30"/>
          <w:u w:val="single"/>
          <w:lang w:val="en-US"/>
        </w:rPr>
      </w:pPr>
    </w:p>
    <w:p w14:paraId="709516D2" w14:textId="0BF3549F" w:rsidR="00FE1C4F" w:rsidRPr="0025491F" w:rsidRDefault="00C54B1C" w:rsidP="00FE1C4F">
      <w:pPr>
        <w:jc w:val="center"/>
        <w:rPr>
          <w:rFonts w:ascii="Arial" w:hAnsi="Arial" w:cs="Arial"/>
          <w:b/>
          <w:bCs/>
          <w:sz w:val="36"/>
          <w:szCs w:val="36"/>
          <w:u w:val="single"/>
          <w:lang w:val="en-US"/>
        </w:rPr>
      </w:pPr>
      <w:r>
        <w:rPr>
          <w:rFonts w:ascii="Arial" w:hAnsi="Arial" w:cs="Arial"/>
          <w:b/>
          <w:bCs/>
          <w:sz w:val="36"/>
          <w:szCs w:val="36"/>
          <w:u w:val="single"/>
          <w:lang w:val="en-US"/>
        </w:rPr>
        <w:t>GRANT SCHEME FOR IRAQ</w:t>
      </w:r>
    </w:p>
    <w:p w14:paraId="22996F4D" w14:textId="77777777" w:rsidR="00FE1C4F" w:rsidRDefault="00FE1C4F" w:rsidP="00FE1C4F">
      <w:pPr>
        <w:jc w:val="center"/>
        <w:rPr>
          <w:rFonts w:ascii="Arial" w:hAnsi="Arial" w:cs="Arial"/>
          <w:b/>
          <w:bCs/>
          <w:color w:val="FF8001"/>
          <w:sz w:val="30"/>
          <w:szCs w:val="30"/>
          <w:lang w:val="en-US"/>
        </w:rPr>
      </w:pPr>
    </w:p>
    <w:p w14:paraId="734F9DEF" w14:textId="5F48E8CF" w:rsidR="00FE1C4F" w:rsidRPr="003125CF" w:rsidRDefault="0081703C" w:rsidP="00FE1C4F">
      <w:pPr>
        <w:jc w:val="center"/>
        <w:rPr>
          <w:rFonts w:ascii="Arial" w:hAnsi="Arial" w:cs="Arial"/>
          <w:b/>
          <w:bCs/>
          <w:color w:val="FF8001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FF8001"/>
          <w:sz w:val="30"/>
          <w:szCs w:val="30"/>
          <w:lang w:val="en-US"/>
        </w:rPr>
        <w:t>Summary of the Call for Applications*</w:t>
      </w:r>
    </w:p>
    <w:p w14:paraId="506AC62B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2B4152A3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040C0A17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5CEBC3C9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5BC2CF08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5B8D5E04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6E23D307" w14:textId="77777777" w:rsidR="00FE1C4F" w:rsidRDefault="00FE1C4F" w:rsidP="00FE1C4F">
      <w:pPr>
        <w:pStyle w:val="Paragrafoelenco"/>
        <w:ind w:left="0"/>
        <w:jc w:val="both"/>
        <w:rPr>
          <w:rFonts w:ascii="Arial" w:hAnsi="Arial" w:cs="Arial"/>
          <w:b/>
          <w:bCs/>
          <w:lang w:val="en-US"/>
        </w:rPr>
      </w:pPr>
    </w:p>
    <w:p w14:paraId="6F63B04C" w14:textId="77777777" w:rsidR="00FE1C4F" w:rsidRDefault="00FE1C4F" w:rsidP="00FE1C4F">
      <w:pPr>
        <w:spacing w:after="0"/>
        <w:jc w:val="center"/>
        <w:rPr>
          <w:rFonts w:ascii="Arial" w:hAnsi="Arial" w:cs="Arial"/>
          <w:iCs/>
          <w:szCs w:val="20"/>
          <w:lang w:val="en-US" w:bidi="ar-JO"/>
        </w:rPr>
      </w:pPr>
      <w:r w:rsidRPr="003125CF">
        <w:rPr>
          <w:rFonts w:ascii="Arial" w:hAnsi="Arial" w:cs="Arial"/>
          <w:iCs/>
          <w:szCs w:val="20"/>
          <w:lang w:val="en-US" w:bidi="ar-JO"/>
        </w:rPr>
        <w:t>Naseej</w:t>
      </w:r>
      <w:r>
        <w:rPr>
          <w:rFonts w:ascii="Arial" w:hAnsi="Arial" w:cs="Arial"/>
          <w:iCs/>
          <w:szCs w:val="20"/>
          <w:lang w:val="en-US" w:bidi="ar-JO"/>
        </w:rPr>
        <w:t>:</w:t>
      </w:r>
    </w:p>
    <w:p w14:paraId="5E6F3E15" w14:textId="77777777" w:rsidR="00FE1C4F" w:rsidRDefault="00FE1C4F" w:rsidP="00FE1C4F">
      <w:pPr>
        <w:spacing w:after="0"/>
        <w:jc w:val="center"/>
        <w:rPr>
          <w:rFonts w:ascii="Arial" w:hAnsi="Arial" w:cs="Arial"/>
          <w:iCs/>
          <w:szCs w:val="20"/>
          <w:lang w:val="en-US" w:bidi="ar-JO"/>
        </w:rPr>
      </w:pPr>
      <w:r w:rsidRPr="003125CF">
        <w:rPr>
          <w:rFonts w:ascii="Arial" w:hAnsi="Arial" w:cs="Arial"/>
          <w:iCs/>
          <w:szCs w:val="20"/>
          <w:lang w:val="en-US" w:bidi="ar-JO"/>
        </w:rPr>
        <w:t xml:space="preserve">Connecting Voices and Action to End Violence Against Women and Girls </w:t>
      </w:r>
    </w:p>
    <w:p w14:paraId="6CAD89D0" w14:textId="77777777" w:rsidR="00FE1C4F" w:rsidRDefault="00FE1C4F" w:rsidP="00FE1C4F">
      <w:pPr>
        <w:spacing w:after="0"/>
        <w:jc w:val="center"/>
        <w:rPr>
          <w:rFonts w:ascii="Arial" w:hAnsi="Arial" w:cs="Arial"/>
          <w:iCs/>
          <w:szCs w:val="20"/>
          <w:lang w:val="en-US" w:bidi="ar-JO"/>
        </w:rPr>
      </w:pPr>
      <w:r w:rsidRPr="003125CF">
        <w:rPr>
          <w:rFonts w:ascii="Arial" w:hAnsi="Arial" w:cs="Arial"/>
          <w:iCs/>
          <w:szCs w:val="20"/>
          <w:lang w:val="en-US" w:bidi="ar-JO"/>
        </w:rPr>
        <w:t>in the MENA Region</w:t>
      </w:r>
    </w:p>
    <w:p w14:paraId="588CD6C3" w14:textId="77777777" w:rsidR="00FE1C4F" w:rsidRPr="003125CF" w:rsidRDefault="00FE1C4F" w:rsidP="00FE1C4F">
      <w:pPr>
        <w:spacing w:after="0"/>
        <w:jc w:val="center"/>
        <w:rPr>
          <w:rFonts w:ascii="Arial" w:hAnsi="Arial" w:cs="Arial"/>
          <w:szCs w:val="20"/>
          <w:lang w:val="en-US"/>
        </w:rPr>
      </w:pPr>
    </w:p>
    <w:p w14:paraId="441A337D" w14:textId="611C10D4" w:rsidR="00C54B1C" w:rsidRDefault="00C54B1C" w:rsidP="00C54B1C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0E23D7">
        <w:rPr>
          <w:rFonts w:ascii="Arial" w:hAnsi="Arial" w:cs="Arial"/>
          <w:sz w:val="20"/>
          <w:szCs w:val="20"/>
          <w:lang w:val="en-US"/>
        </w:rPr>
        <w:t>HUM/2018/400-606</w:t>
      </w:r>
    </w:p>
    <w:p w14:paraId="6708C2B4" w14:textId="52F264E4" w:rsidR="00FE1C4F" w:rsidRDefault="002F6B3A" w:rsidP="00FE1C4F">
      <w:pPr>
        <w:jc w:val="center"/>
        <w:rPr>
          <w:rFonts w:ascii="Arial" w:hAnsi="Arial" w:cs="Arial"/>
          <w:b/>
          <w:bCs/>
          <w:sz w:val="30"/>
          <w:szCs w:val="30"/>
          <w:u w:val="single"/>
          <w:lang w:val="en-US"/>
        </w:rPr>
      </w:pPr>
      <w:r>
        <w:rPr>
          <w:rFonts w:ascii="Arial" w:hAnsi="Arial" w:cs="Arial"/>
          <w:b/>
          <w:bCs/>
          <w:noProof/>
          <w:sz w:val="20"/>
          <w:szCs w:val="20"/>
          <w:lang w:val="en-US"/>
        </w:rPr>
        <w:pict w14:anchorId="0045FDA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7.8pt;margin-top:23.15pt;width:114pt;height:19.2pt;z-index:251661312" filled="f" stroked="f">
            <v:textbox style="mso-next-textbox:#_x0000_s1027">
              <w:txbxContent>
                <w:p w14:paraId="32096EB3" w14:textId="77777777" w:rsidR="00FE1C4F" w:rsidRPr="0025491F" w:rsidRDefault="00FE1C4F" w:rsidP="00FE1C4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pPr>
                  <w:r w:rsidRPr="0025491F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t>Consortium Leader</w:t>
                  </w:r>
                </w:p>
              </w:txbxContent>
            </v:textbox>
          </v:shape>
        </w:pict>
      </w:r>
    </w:p>
    <w:p w14:paraId="56225911" w14:textId="0CBE899C" w:rsidR="00FE1C4F" w:rsidRDefault="004714E4" w:rsidP="00FE1C4F">
      <w:pPr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val="en-US"/>
        </w:rPr>
        <w:drawing>
          <wp:anchor distT="0" distB="0" distL="114300" distR="114300" simplePos="0" relativeHeight="251661824" behindDoc="0" locked="0" layoutInCell="1" allowOverlap="1" wp14:anchorId="6BA52FFC" wp14:editId="566D946B">
            <wp:simplePos x="0" y="0"/>
            <wp:positionH relativeFrom="column">
              <wp:posOffset>3592830</wp:posOffset>
            </wp:positionH>
            <wp:positionV relativeFrom="paragraph">
              <wp:posOffset>165100</wp:posOffset>
            </wp:positionV>
            <wp:extent cx="777875" cy="87630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xfam_Vertical_Color_RGB_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C4F">
        <w:rPr>
          <w:rFonts w:ascii="Arial" w:hAnsi="Arial" w:cs="Arial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54144" behindDoc="0" locked="0" layoutInCell="1" allowOverlap="1" wp14:anchorId="6B634976" wp14:editId="18ECDF54">
            <wp:simplePos x="0" y="0"/>
            <wp:positionH relativeFrom="column">
              <wp:posOffset>1469662</wp:posOffset>
            </wp:positionH>
            <wp:positionV relativeFrom="paragraph">
              <wp:posOffset>12609</wp:posOffset>
            </wp:positionV>
            <wp:extent cx="739140" cy="502285"/>
            <wp:effectExtent l="0" t="0" r="0" b="0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lag_yellow_-0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BFCDAB" w14:textId="77777777" w:rsidR="00FE1C4F" w:rsidRDefault="00FE1C4F" w:rsidP="00FE1C4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1F4219ED" w14:textId="67DEAEB9" w:rsidR="0081703C" w:rsidRDefault="002F6B3A" w:rsidP="0081703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noProof/>
          <w:sz w:val="30"/>
          <w:szCs w:val="30"/>
          <w:u w:val="single"/>
          <w:lang w:val="en-US"/>
        </w:rPr>
        <w:pict w14:anchorId="18208134">
          <v:shape id="_x0000_s1026" type="#_x0000_t202" style="position:absolute;margin-left:75.7pt;margin-top:7.8pt;width:133.7pt;height:37.8pt;z-index:251660288" filled="f" stroked="f">
            <v:textbox style="mso-next-textbox:#_x0000_s1026">
              <w:txbxContent>
                <w:p w14:paraId="2DE196B1" w14:textId="77777777" w:rsidR="00FE1C4F" w:rsidRPr="0025491F" w:rsidRDefault="00FE1C4F" w:rsidP="00FE1C4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pPr>
                  <w:r w:rsidRPr="0025491F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t>This project is co-funded by the European Union</w:t>
                  </w:r>
                </w:p>
              </w:txbxContent>
            </v:textbox>
          </v:shape>
        </w:pict>
      </w:r>
    </w:p>
    <w:p w14:paraId="64E1CAC4" w14:textId="4466BD80" w:rsidR="0081703C" w:rsidRDefault="0081703C" w:rsidP="0081703C">
      <w:pPr>
        <w:rPr>
          <w:rFonts w:ascii="Arial" w:hAnsi="Arial" w:cs="Arial"/>
          <w:sz w:val="20"/>
          <w:szCs w:val="20"/>
          <w:lang w:val="en-US"/>
        </w:rPr>
      </w:pPr>
    </w:p>
    <w:p w14:paraId="5FFB7018" w14:textId="77777777" w:rsidR="0081703C" w:rsidRDefault="0081703C" w:rsidP="0081703C">
      <w:pPr>
        <w:jc w:val="center"/>
        <w:rPr>
          <w:rFonts w:ascii="Arial" w:hAnsi="Arial" w:cs="Arial"/>
          <w:sz w:val="20"/>
          <w:szCs w:val="20"/>
          <w:highlight w:val="yellow"/>
          <w:lang w:val="en-US"/>
        </w:rPr>
      </w:pPr>
    </w:p>
    <w:p w14:paraId="6B30FA52" w14:textId="4E5F837C" w:rsidR="00FE1C4F" w:rsidRPr="0081703C" w:rsidRDefault="0081703C" w:rsidP="0081703C">
      <w:pPr>
        <w:jc w:val="center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="00FE1C4F" w:rsidRPr="0081703C" w:rsidSect="003125CF">
          <w:footerReference w:type="default" r:id="rId12"/>
          <w:pgSz w:w="11906" w:h="16838"/>
          <w:pgMar w:top="1417" w:right="1134" w:bottom="1134" w:left="1134" w:header="708" w:footer="708" w:gutter="0"/>
          <w:pgBorders w:offsetFrom="page">
            <w:top w:val="single" w:sz="4" w:space="24" w:color="FABF8F" w:themeColor="accent6" w:themeTint="99"/>
            <w:left w:val="single" w:sz="4" w:space="24" w:color="FABF8F" w:themeColor="accent6" w:themeTint="99"/>
            <w:bottom w:val="single" w:sz="4" w:space="24" w:color="FABF8F" w:themeColor="accent6" w:themeTint="99"/>
            <w:right w:val="single" w:sz="4" w:space="24" w:color="FABF8F" w:themeColor="accent6" w:themeTint="99"/>
          </w:pgBorders>
          <w:pgNumType w:start="1"/>
          <w:cols w:space="708"/>
          <w:titlePg/>
          <w:docGrid w:linePitch="360"/>
        </w:sectPr>
      </w:pPr>
      <w:r w:rsidRPr="0081703C">
        <w:rPr>
          <w:rFonts w:ascii="Arial" w:hAnsi="Arial" w:cs="Arial"/>
          <w:color w:val="000000" w:themeColor="text1"/>
          <w:sz w:val="20"/>
          <w:szCs w:val="20"/>
          <w:highlight w:val="yellow"/>
          <w:lang w:val="en-US"/>
        </w:rPr>
        <w:t xml:space="preserve">* </w:t>
      </w:r>
      <w:r>
        <w:rPr>
          <w:rFonts w:ascii="Arial" w:hAnsi="Arial" w:cs="Arial"/>
          <w:color w:val="000000" w:themeColor="text1"/>
          <w:sz w:val="20"/>
          <w:szCs w:val="20"/>
          <w:highlight w:val="yellow"/>
          <w:lang w:val="en-US"/>
        </w:rPr>
        <w:t xml:space="preserve">Please note that </w:t>
      </w:r>
      <w:r w:rsidRPr="0081703C">
        <w:rPr>
          <w:rFonts w:ascii="Arial" w:hAnsi="Arial" w:cs="Arial"/>
          <w:color w:val="000000" w:themeColor="text1"/>
          <w:sz w:val="20"/>
          <w:szCs w:val="20"/>
          <w:highlight w:val="yellow"/>
          <w:lang w:val="en-US"/>
        </w:rPr>
        <w:t>this summary does not replace the content of the call&gt; for complete information please refer to the call LINK</w:t>
      </w:r>
      <w:r>
        <w:rPr>
          <w:rFonts w:ascii="Arial" w:hAnsi="Arial" w:cs="Arial"/>
          <w:sz w:val="20"/>
          <w:szCs w:val="20"/>
          <w:lang w:val="en-US"/>
        </w:rPr>
        <w:tab/>
      </w:r>
    </w:p>
    <w:p w14:paraId="23A025A9" w14:textId="77777777" w:rsidR="00F6160C" w:rsidRPr="00C30F5B" w:rsidRDefault="00F6160C" w:rsidP="00C30F5B">
      <w:pPr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lastRenderedPageBreak/>
        <w:t>Are you an organization working to support survivors of violence and women’s rights?</w:t>
      </w:r>
    </w:p>
    <w:p w14:paraId="51D18774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 xml:space="preserve">Within the framework of the project </w:t>
      </w:r>
      <w:r w:rsidRPr="00C30F5B">
        <w:rPr>
          <w:rFonts w:ascii="Arial" w:hAnsi="Arial" w:cs="Arial"/>
          <w:i/>
          <w:iCs/>
          <w:lang w:val="en-US"/>
        </w:rPr>
        <w:t>Naseej: Connecting voices</w:t>
      </w:r>
      <w:r w:rsidR="00155F5D" w:rsidRPr="00C30F5B">
        <w:rPr>
          <w:rFonts w:ascii="Arial" w:hAnsi="Arial" w:cs="Arial"/>
          <w:i/>
          <w:iCs/>
          <w:lang w:val="en-US"/>
        </w:rPr>
        <w:t xml:space="preserve"> and Action to End Violence Against Women and Girls in the MENA Region</w:t>
      </w:r>
      <w:r w:rsidRPr="00C30F5B">
        <w:rPr>
          <w:rFonts w:ascii="Arial" w:hAnsi="Arial" w:cs="Arial"/>
          <w:lang w:val="en-US"/>
        </w:rPr>
        <w:t xml:space="preserve"> funded by the European Union and implemented also in the</w:t>
      </w:r>
      <w:r w:rsidR="001C0E9B" w:rsidRPr="00C30F5B">
        <w:rPr>
          <w:rFonts w:ascii="Arial" w:hAnsi="Arial" w:cs="Arial"/>
          <w:lang w:val="en-US"/>
        </w:rPr>
        <w:t xml:space="preserve"> Occupied </w:t>
      </w:r>
      <w:r w:rsidRPr="00C30F5B">
        <w:rPr>
          <w:rFonts w:ascii="Arial" w:hAnsi="Arial" w:cs="Arial"/>
          <w:lang w:val="en-US"/>
        </w:rPr>
        <w:t>P</w:t>
      </w:r>
      <w:r w:rsidR="001C0E9B" w:rsidRPr="00C30F5B">
        <w:rPr>
          <w:rFonts w:ascii="Arial" w:hAnsi="Arial" w:cs="Arial"/>
          <w:lang w:val="en-US"/>
        </w:rPr>
        <w:t xml:space="preserve">alestine </w:t>
      </w:r>
      <w:r w:rsidRPr="00C30F5B">
        <w:rPr>
          <w:rFonts w:ascii="Arial" w:hAnsi="Arial" w:cs="Arial"/>
          <w:lang w:val="en-US"/>
        </w:rPr>
        <w:t>T</w:t>
      </w:r>
      <w:r w:rsidR="001C0E9B" w:rsidRPr="00C30F5B">
        <w:rPr>
          <w:rFonts w:ascii="Arial" w:hAnsi="Arial" w:cs="Arial"/>
          <w:lang w:val="en-US"/>
        </w:rPr>
        <w:t>erritories</w:t>
      </w:r>
      <w:r w:rsidR="00E45516" w:rsidRPr="00C30F5B">
        <w:rPr>
          <w:rFonts w:ascii="Arial" w:hAnsi="Arial" w:cs="Arial"/>
          <w:lang w:val="en-US"/>
        </w:rPr>
        <w:t xml:space="preserve"> </w:t>
      </w:r>
      <w:r w:rsidRPr="00C30F5B">
        <w:rPr>
          <w:rFonts w:ascii="Arial" w:hAnsi="Arial" w:cs="Arial"/>
          <w:lang w:val="en-US"/>
        </w:rPr>
        <w:t>and Yemen, O</w:t>
      </w:r>
      <w:r w:rsidR="00DD3784" w:rsidRPr="00C30F5B">
        <w:rPr>
          <w:rFonts w:ascii="Arial" w:hAnsi="Arial" w:cs="Arial"/>
          <w:lang w:val="en-US"/>
        </w:rPr>
        <w:t>xfam</w:t>
      </w:r>
      <w:r w:rsidRPr="00C30F5B">
        <w:rPr>
          <w:rFonts w:ascii="Arial" w:hAnsi="Arial" w:cs="Arial"/>
          <w:lang w:val="en-US"/>
        </w:rPr>
        <w:t xml:space="preserve"> is launching a call for proposals to support local civil society organizations </w:t>
      </w:r>
      <w:r w:rsidR="00E3550A" w:rsidRPr="00C30F5B">
        <w:rPr>
          <w:rFonts w:ascii="Arial" w:hAnsi="Arial" w:cs="Arial"/>
          <w:lang w:val="en-US"/>
        </w:rPr>
        <w:t xml:space="preserve">and women’s rights organizations </w:t>
      </w:r>
      <w:r w:rsidRPr="00C30F5B">
        <w:rPr>
          <w:rFonts w:ascii="Arial" w:hAnsi="Arial" w:cs="Arial"/>
          <w:lang w:val="en-US"/>
        </w:rPr>
        <w:t xml:space="preserve">working on gender equality, in particular to fight </w:t>
      </w:r>
      <w:r w:rsidR="00E3550A" w:rsidRPr="00C30F5B">
        <w:rPr>
          <w:rFonts w:ascii="Arial" w:hAnsi="Arial" w:cs="Arial"/>
          <w:lang w:val="en-US"/>
        </w:rPr>
        <w:t xml:space="preserve">gender </w:t>
      </w:r>
      <w:r w:rsidRPr="00C30F5B">
        <w:rPr>
          <w:rFonts w:ascii="Arial" w:hAnsi="Arial" w:cs="Arial"/>
          <w:lang w:val="en-US"/>
        </w:rPr>
        <w:t xml:space="preserve">based </w:t>
      </w:r>
      <w:r w:rsidR="00E3550A" w:rsidRPr="00C30F5B">
        <w:rPr>
          <w:rFonts w:ascii="Arial" w:hAnsi="Arial" w:cs="Arial"/>
          <w:lang w:val="en-US"/>
        </w:rPr>
        <w:t xml:space="preserve">violence (GBV) </w:t>
      </w:r>
      <w:r w:rsidRPr="00C30F5B">
        <w:rPr>
          <w:rFonts w:ascii="Arial" w:hAnsi="Arial" w:cs="Arial"/>
          <w:lang w:val="en-US"/>
        </w:rPr>
        <w:t>that is affecting women and girls.</w:t>
      </w:r>
    </w:p>
    <w:p w14:paraId="6E465CC8" w14:textId="77777777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t>What is it about?</w:t>
      </w:r>
    </w:p>
    <w:p w14:paraId="1C625739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 xml:space="preserve">A total amount of </w:t>
      </w:r>
      <w:r w:rsidRPr="00C30F5B">
        <w:rPr>
          <w:rFonts w:ascii="Arial" w:hAnsi="Arial" w:cs="Arial"/>
          <w:b/>
          <w:bCs/>
          <w:lang w:val="en-US"/>
        </w:rPr>
        <w:t>€ 1,175,000</w:t>
      </w:r>
      <w:r w:rsidRPr="00C30F5B">
        <w:rPr>
          <w:rFonts w:ascii="Arial" w:hAnsi="Arial" w:cs="Arial"/>
          <w:lang w:val="en-US"/>
        </w:rPr>
        <w:t xml:space="preserve"> is available to fund projects by small, medium and large local organizations aiming at:</w:t>
      </w:r>
    </w:p>
    <w:tbl>
      <w:tblPr>
        <w:tblStyle w:val="Tabellagriglia5scura-colore6"/>
        <w:tblW w:w="0" w:type="auto"/>
        <w:tblLook w:val="04A0" w:firstRow="1" w:lastRow="0" w:firstColumn="1" w:lastColumn="0" w:noHBand="0" w:noVBand="1"/>
      </w:tblPr>
      <w:tblGrid>
        <w:gridCol w:w="1988"/>
        <w:gridCol w:w="7300"/>
      </w:tblGrid>
      <w:tr w:rsidR="00F6160C" w:rsidRPr="00C30F5B" w14:paraId="5DFA2B12" w14:textId="77777777" w:rsidTr="00C30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F385DDC" w14:textId="77777777" w:rsidR="00C30F5B" w:rsidRDefault="00C30F5B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Stream 1</w:t>
            </w:r>
          </w:p>
          <w:p w14:paraId="69A3C160" w14:textId="0C576131" w:rsidR="00F6160C" w:rsidRPr="00C30F5B" w:rsidRDefault="00F6160C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30F5B">
              <w:rPr>
                <w:b w:val="0"/>
                <w:sz w:val="20"/>
                <w:szCs w:val="20"/>
                <w:lang w:val="en-US"/>
              </w:rPr>
              <w:t>Services</w:t>
            </w:r>
          </w:p>
        </w:tc>
        <w:tc>
          <w:tcPr>
            <w:tcW w:w="7969" w:type="dxa"/>
            <w:shd w:val="clear" w:color="auto" w:fill="FDE9D9" w:themeFill="accent6" w:themeFillTint="33"/>
          </w:tcPr>
          <w:p w14:paraId="4A3E78E2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Strengthening support and referral services and reporting systems for women and girls</w:t>
            </w:r>
            <w:r w:rsidR="00DD3784" w:rsidRPr="00C30F5B">
              <w:rPr>
                <w:sz w:val="20"/>
                <w:szCs w:val="20"/>
                <w:lang w:val="en-US"/>
              </w:rPr>
              <w:t xml:space="preserve"> </w:t>
            </w:r>
            <w:r w:rsidRPr="00C30F5B">
              <w:rPr>
                <w:sz w:val="20"/>
                <w:szCs w:val="20"/>
                <w:lang w:val="en-US"/>
              </w:rPr>
              <w:t>GBV survivors</w:t>
            </w:r>
          </w:p>
          <w:p w14:paraId="59B05D5A" w14:textId="77777777" w:rsidR="00F6160C" w:rsidRPr="00C30F5B" w:rsidRDefault="00F6160C" w:rsidP="00C30F5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6160C" w:rsidRPr="00C30F5B" w14:paraId="2B8AE448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41AECC69" w14:textId="77777777" w:rsidR="00C30F5B" w:rsidRDefault="00C30F5B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Stream 2</w:t>
            </w:r>
          </w:p>
          <w:p w14:paraId="5312279A" w14:textId="29D73F94" w:rsidR="00F6160C" w:rsidRPr="00C30F5B" w:rsidRDefault="00F6160C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30F5B">
              <w:rPr>
                <w:b w:val="0"/>
                <w:sz w:val="20"/>
                <w:szCs w:val="20"/>
                <w:lang w:val="en-US"/>
              </w:rPr>
              <w:t>Social Norms</w:t>
            </w:r>
          </w:p>
          <w:p w14:paraId="7A862080" w14:textId="77777777" w:rsidR="00F6160C" w:rsidRPr="00C30F5B" w:rsidRDefault="00F6160C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7969" w:type="dxa"/>
          </w:tcPr>
          <w:p w14:paraId="0699BB60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Transforming the social norms that perpetuate GBV with a special focus on youth engagement</w:t>
            </w:r>
          </w:p>
          <w:p w14:paraId="52B60281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6160C" w:rsidRPr="00C30F5B" w14:paraId="5EA0282A" w14:textId="77777777" w:rsidTr="00C30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98CCBD1" w14:textId="77777777" w:rsidR="00C30F5B" w:rsidRDefault="00C30F5B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Stream 3</w:t>
            </w:r>
          </w:p>
          <w:p w14:paraId="4BC3BEA7" w14:textId="5C0010AE" w:rsidR="00F6160C" w:rsidRPr="00C30F5B" w:rsidRDefault="00F6160C" w:rsidP="00C30F5B">
            <w:pPr>
              <w:pStyle w:val="Default"/>
              <w:jc w:val="both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30F5B">
              <w:rPr>
                <w:b w:val="0"/>
                <w:sz w:val="20"/>
                <w:szCs w:val="20"/>
                <w:lang w:val="en-US"/>
              </w:rPr>
              <w:t>Advocacy</w:t>
            </w:r>
          </w:p>
        </w:tc>
        <w:tc>
          <w:tcPr>
            <w:tcW w:w="7969" w:type="dxa"/>
          </w:tcPr>
          <w:p w14:paraId="2F75EB27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Strengthening development and implementation of national GBV legislation</w:t>
            </w:r>
          </w:p>
          <w:p w14:paraId="59CB12E1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</w:tbl>
    <w:p w14:paraId="06365CC0" w14:textId="77777777" w:rsidR="00C30F5B" w:rsidRDefault="00C30F5B" w:rsidP="00C30F5B">
      <w:pPr>
        <w:spacing w:after="120"/>
        <w:ind w:left="33"/>
        <w:jc w:val="both"/>
        <w:rPr>
          <w:rFonts w:ascii="Arial" w:hAnsi="Arial" w:cs="Arial"/>
          <w:lang w:val="en-US"/>
        </w:rPr>
      </w:pPr>
    </w:p>
    <w:p w14:paraId="0BE08A97" w14:textId="710FCCF2" w:rsidR="0081142A" w:rsidRPr="00C30F5B" w:rsidRDefault="00F6160C" w:rsidP="00C30F5B">
      <w:pPr>
        <w:spacing w:after="120"/>
        <w:ind w:left="33"/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 xml:space="preserve">Projects must be implemented in </w:t>
      </w:r>
      <w:proofErr w:type="spellStart"/>
      <w:r w:rsidRPr="00C30F5B">
        <w:rPr>
          <w:rFonts w:ascii="Arial" w:hAnsi="Arial" w:cs="Arial"/>
          <w:b/>
          <w:bCs/>
          <w:lang w:val="en-US"/>
        </w:rPr>
        <w:t>Diyala</w:t>
      </w:r>
      <w:proofErr w:type="spellEnd"/>
      <w:r w:rsidRPr="00C30F5B">
        <w:rPr>
          <w:rFonts w:ascii="Arial" w:hAnsi="Arial" w:cs="Arial"/>
          <w:b/>
          <w:bCs/>
          <w:lang w:val="en-US"/>
        </w:rPr>
        <w:t xml:space="preserve"> and/or Anbar governorates</w:t>
      </w:r>
      <w:r w:rsidR="0081142A" w:rsidRPr="00C30F5B">
        <w:rPr>
          <w:rFonts w:ascii="Arial" w:hAnsi="Arial" w:cs="Arial"/>
          <w:lang w:val="en-US"/>
        </w:rPr>
        <w:t xml:space="preserve"> in at least one of the following locations: </w:t>
      </w:r>
    </w:p>
    <w:p w14:paraId="40316E3D" w14:textId="124BC53B" w:rsidR="0081142A" w:rsidRPr="00C30F5B" w:rsidRDefault="0081142A" w:rsidP="00C30F5B">
      <w:pPr>
        <w:spacing w:after="120"/>
        <w:ind w:left="33"/>
        <w:jc w:val="both"/>
        <w:rPr>
          <w:rFonts w:ascii="Arial" w:hAnsi="Arial" w:cs="Arial"/>
          <w:lang w:val="en-US"/>
        </w:rPr>
      </w:pPr>
      <w:proofErr w:type="spellStart"/>
      <w:r w:rsidRPr="00C30F5B">
        <w:rPr>
          <w:rFonts w:ascii="Arial" w:hAnsi="Arial" w:cs="Arial"/>
          <w:lang w:val="en-US"/>
        </w:rPr>
        <w:t>Diyala</w:t>
      </w:r>
      <w:proofErr w:type="spellEnd"/>
      <w:r w:rsidRPr="00C30F5B">
        <w:rPr>
          <w:rFonts w:ascii="Arial" w:hAnsi="Arial" w:cs="Arial"/>
          <w:lang w:val="en-US"/>
        </w:rPr>
        <w:t xml:space="preserve"> Governorate: </w:t>
      </w:r>
      <w:proofErr w:type="spellStart"/>
      <w:r w:rsidRPr="00C30F5B">
        <w:rPr>
          <w:rFonts w:ascii="Arial" w:hAnsi="Arial" w:cs="Arial"/>
          <w:lang w:val="en-US"/>
        </w:rPr>
        <w:t>Azaadi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Raparin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Banmil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Arkawazi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Alezi</w:t>
      </w:r>
      <w:proofErr w:type="spellEnd"/>
      <w:r w:rsidRPr="00C30F5B">
        <w:rPr>
          <w:rFonts w:ascii="Arial" w:hAnsi="Arial" w:cs="Arial"/>
          <w:lang w:val="en-US"/>
        </w:rPr>
        <w:t xml:space="preserve"> (Al </w:t>
      </w:r>
      <w:proofErr w:type="spellStart"/>
      <w:r w:rsidRPr="00C30F5B">
        <w:rPr>
          <w:rFonts w:ascii="Arial" w:hAnsi="Arial" w:cs="Arial"/>
          <w:lang w:val="en-US"/>
        </w:rPr>
        <w:t>bingani</w:t>
      </w:r>
      <w:proofErr w:type="spellEnd"/>
      <w:r w:rsidRPr="00C30F5B">
        <w:rPr>
          <w:rFonts w:ascii="Arial" w:hAnsi="Arial" w:cs="Arial"/>
          <w:lang w:val="en-US"/>
        </w:rPr>
        <w:t xml:space="preserve">), </w:t>
      </w:r>
      <w:proofErr w:type="spellStart"/>
      <w:r w:rsidRPr="00C30F5B">
        <w:rPr>
          <w:rFonts w:ascii="Arial" w:hAnsi="Arial" w:cs="Arial"/>
          <w:lang w:val="en-US"/>
        </w:rPr>
        <w:t>Aljehad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Alnedal</w:t>
      </w:r>
      <w:proofErr w:type="spellEnd"/>
      <w:r w:rsidRPr="00C30F5B">
        <w:rPr>
          <w:rFonts w:ascii="Arial" w:hAnsi="Arial" w:cs="Arial"/>
          <w:lang w:val="en-US"/>
        </w:rPr>
        <w:t xml:space="preserve"> (</w:t>
      </w:r>
      <w:proofErr w:type="spellStart"/>
      <w:r w:rsidRPr="00C30F5B">
        <w:rPr>
          <w:rFonts w:ascii="Arial" w:hAnsi="Arial" w:cs="Arial"/>
          <w:lang w:val="en-US"/>
        </w:rPr>
        <w:t>Baloor</w:t>
      </w:r>
      <w:proofErr w:type="spellEnd"/>
      <w:r w:rsidRPr="00C30F5B">
        <w:rPr>
          <w:rFonts w:ascii="Arial" w:hAnsi="Arial" w:cs="Arial"/>
          <w:lang w:val="en-US"/>
        </w:rPr>
        <w:t xml:space="preserve">), </w:t>
      </w:r>
      <w:proofErr w:type="spellStart"/>
      <w:r w:rsidRPr="00C30F5B">
        <w:rPr>
          <w:rFonts w:ascii="Arial" w:hAnsi="Arial" w:cs="Arial"/>
          <w:lang w:val="en-US"/>
        </w:rPr>
        <w:t>Saadiya</w:t>
      </w:r>
      <w:proofErr w:type="spellEnd"/>
      <w:r w:rsidRPr="00C30F5B">
        <w:rPr>
          <w:rFonts w:ascii="Arial" w:hAnsi="Arial" w:cs="Arial"/>
          <w:lang w:val="en-US"/>
        </w:rPr>
        <w:t xml:space="preserve"> town neighborhoods.</w:t>
      </w:r>
    </w:p>
    <w:p w14:paraId="435EFA85" w14:textId="6EE05AA1" w:rsidR="0081142A" w:rsidRPr="00C30F5B" w:rsidRDefault="0081142A" w:rsidP="00C30F5B">
      <w:pPr>
        <w:spacing w:after="120"/>
        <w:ind w:left="33"/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>Anbar Governorate:</w:t>
      </w:r>
      <w:r w:rsidR="00C30F5B">
        <w:rPr>
          <w:rFonts w:ascii="Arial" w:hAnsi="Arial" w:cs="Arial"/>
          <w:lang w:val="en-US"/>
        </w:rPr>
        <w:t xml:space="preserve"> </w:t>
      </w:r>
      <w:proofErr w:type="spellStart"/>
      <w:r w:rsidRPr="00C30F5B">
        <w:rPr>
          <w:rFonts w:ascii="Arial" w:hAnsi="Arial" w:cs="Arial"/>
          <w:lang w:val="en-US"/>
        </w:rPr>
        <w:t>AlboIkash</w:t>
      </w:r>
      <w:proofErr w:type="spellEnd"/>
      <w:r w:rsidRPr="00C30F5B">
        <w:rPr>
          <w:rFonts w:ascii="Arial" w:hAnsi="Arial" w:cs="Arial"/>
          <w:lang w:val="en-US"/>
        </w:rPr>
        <w:t xml:space="preserve">, kilo 7 complex, Raihana, </w:t>
      </w:r>
      <w:proofErr w:type="spellStart"/>
      <w:r w:rsidRPr="00C30F5B">
        <w:rPr>
          <w:rFonts w:ascii="Arial" w:hAnsi="Arial" w:cs="Arial"/>
          <w:lang w:val="en-US"/>
        </w:rPr>
        <w:t>Hasahcomplex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Obaidi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Qaimcenter</w:t>
      </w:r>
      <w:proofErr w:type="spellEnd"/>
      <w:r w:rsidRPr="00C30F5B">
        <w:rPr>
          <w:rFonts w:ascii="Arial" w:hAnsi="Arial" w:cs="Arial"/>
          <w:lang w:val="en-US"/>
        </w:rPr>
        <w:t xml:space="preserve">, </w:t>
      </w:r>
      <w:proofErr w:type="spellStart"/>
      <w:r w:rsidRPr="00C30F5B">
        <w:rPr>
          <w:rFonts w:ascii="Arial" w:hAnsi="Arial" w:cs="Arial"/>
          <w:lang w:val="en-US"/>
        </w:rPr>
        <w:t>Rumanah</w:t>
      </w:r>
      <w:proofErr w:type="spellEnd"/>
      <w:r w:rsidRPr="00C30F5B">
        <w:rPr>
          <w:rFonts w:ascii="Arial" w:hAnsi="Arial" w:cs="Arial"/>
          <w:lang w:val="en-US"/>
        </w:rPr>
        <w:t xml:space="preserve"> neighborhoods.</w:t>
      </w:r>
    </w:p>
    <w:p w14:paraId="102392FD" w14:textId="6A9E186F" w:rsidR="0081142A" w:rsidRPr="00C30F5B" w:rsidRDefault="0081142A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>Baghdad city for advocacy activities only (under Stream 3</w:t>
      </w:r>
      <w:r w:rsidR="00D477A4" w:rsidRPr="00C30F5B">
        <w:rPr>
          <w:rFonts w:ascii="Arial" w:hAnsi="Arial" w:cs="Arial"/>
          <w:lang w:val="en-US"/>
        </w:rPr>
        <w:t>)</w:t>
      </w:r>
    </w:p>
    <w:p w14:paraId="2B87F5B6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>The total funding is divided in 3 Lots, with each Lot having different grant sizes:</w:t>
      </w:r>
    </w:p>
    <w:tbl>
      <w:tblPr>
        <w:tblStyle w:val="Tabellagriglia4-colore6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3118"/>
        <w:gridCol w:w="2268"/>
      </w:tblGrid>
      <w:tr w:rsidR="00F6160C" w:rsidRPr="00C30F5B" w14:paraId="096013A7" w14:textId="77777777" w:rsidTr="00C30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19EA078F" w14:textId="77777777" w:rsidR="00F6160C" w:rsidRPr="00C30F5B" w:rsidRDefault="00F6160C" w:rsidP="00C30F5B">
            <w:pPr>
              <w:pStyle w:val="Default"/>
              <w:spacing w:after="120"/>
              <w:jc w:val="both"/>
              <w:rPr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</w:tcPr>
          <w:p w14:paraId="4230B484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C30F5B">
              <w:rPr>
                <w:color w:val="FFFFFF" w:themeColor="background1"/>
                <w:sz w:val="20"/>
                <w:szCs w:val="20"/>
                <w:lang w:val="en-US"/>
              </w:rPr>
              <w:t>Size of Grants</w:t>
            </w:r>
          </w:p>
        </w:tc>
        <w:tc>
          <w:tcPr>
            <w:tcW w:w="2268" w:type="dxa"/>
          </w:tcPr>
          <w:p w14:paraId="618A154D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C30F5B">
              <w:rPr>
                <w:color w:val="FFFFFF" w:themeColor="background1"/>
                <w:sz w:val="20"/>
                <w:szCs w:val="20"/>
                <w:lang w:val="en-US"/>
              </w:rPr>
              <w:t>Number of Grants</w:t>
            </w:r>
          </w:p>
        </w:tc>
      </w:tr>
      <w:tr w:rsidR="00F6160C" w:rsidRPr="00C30F5B" w14:paraId="0C0E7F93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45DE97A1" w14:textId="77777777" w:rsidR="00F6160C" w:rsidRPr="00C30F5B" w:rsidRDefault="00F6160C" w:rsidP="00C30F5B">
            <w:pPr>
              <w:pStyle w:val="Default"/>
              <w:spacing w:after="120"/>
              <w:jc w:val="both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Lot 1</w:t>
            </w:r>
          </w:p>
        </w:tc>
        <w:tc>
          <w:tcPr>
            <w:tcW w:w="3118" w:type="dxa"/>
          </w:tcPr>
          <w:p w14:paraId="076BCA8B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Between 25k and 50k €</w:t>
            </w:r>
          </w:p>
        </w:tc>
        <w:tc>
          <w:tcPr>
            <w:tcW w:w="2268" w:type="dxa"/>
          </w:tcPr>
          <w:p w14:paraId="4D45DBCF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Up to 3</w:t>
            </w:r>
          </w:p>
        </w:tc>
      </w:tr>
      <w:tr w:rsidR="00F6160C" w:rsidRPr="00C30F5B" w14:paraId="0BA70736" w14:textId="77777777" w:rsidTr="00C30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2340E90B" w14:textId="77777777" w:rsidR="00F6160C" w:rsidRPr="00C30F5B" w:rsidRDefault="00F6160C" w:rsidP="00C30F5B">
            <w:pPr>
              <w:pStyle w:val="Default"/>
              <w:spacing w:after="120"/>
              <w:jc w:val="both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Lot 2</w:t>
            </w:r>
          </w:p>
        </w:tc>
        <w:tc>
          <w:tcPr>
            <w:tcW w:w="3118" w:type="dxa"/>
          </w:tcPr>
          <w:p w14:paraId="0C391F25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Between 100k and 150k €</w:t>
            </w:r>
          </w:p>
        </w:tc>
        <w:tc>
          <w:tcPr>
            <w:tcW w:w="2268" w:type="dxa"/>
          </w:tcPr>
          <w:p w14:paraId="066C813F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Up to 5</w:t>
            </w:r>
          </w:p>
        </w:tc>
      </w:tr>
      <w:tr w:rsidR="00F6160C" w:rsidRPr="00C30F5B" w14:paraId="6C5A7567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21CC545F" w14:textId="77777777" w:rsidR="00F6160C" w:rsidRPr="00C30F5B" w:rsidRDefault="00F6160C" w:rsidP="00C30F5B">
            <w:pPr>
              <w:pStyle w:val="Default"/>
              <w:spacing w:after="120"/>
              <w:jc w:val="both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Lot 3</w:t>
            </w:r>
          </w:p>
        </w:tc>
        <w:tc>
          <w:tcPr>
            <w:tcW w:w="3118" w:type="dxa"/>
          </w:tcPr>
          <w:p w14:paraId="36CD8B5E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Between 300k and 350k €</w:t>
            </w:r>
          </w:p>
        </w:tc>
        <w:tc>
          <w:tcPr>
            <w:tcW w:w="2268" w:type="dxa"/>
          </w:tcPr>
          <w:p w14:paraId="06685A3C" w14:textId="77777777" w:rsidR="00F6160C" w:rsidRPr="00C30F5B" w:rsidRDefault="00F6160C" w:rsidP="00C30F5B">
            <w:pPr>
              <w:pStyle w:val="Default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C30F5B">
              <w:rPr>
                <w:sz w:val="20"/>
                <w:szCs w:val="20"/>
                <w:lang w:val="en-US"/>
              </w:rPr>
              <w:t>Up to 1</w:t>
            </w:r>
          </w:p>
        </w:tc>
      </w:tr>
    </w:tbl>
    <w:p w14:paraId="6556E6CD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</w:p>
    <w:p w14:paraId="51E14660" w14:textId="77777777" w:rsidR="00F6160C" w:rsidRPr="00C30F5B" w:rsidRDefault="00F6160C" w:rsidP="00C30F5B">
      <w:pPr>
        <w:pStyle w:val="Default"/>
        <w:spacing w:after="120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 xml:space="preserve">Application to the different Lots is allowed according to the </w:t>
      </w:r>
      <w:r w:rsidRPr="00C30F5B">
        <w:rPr>
          <w:b/>
          <w:bCs/>
          <w:sz w:val="20"/>
          <w:szCs w:val="20"/>
          <w:lang w:val="en-US"/>
        </w:rPr>
        <w:t>size of the applicant organization</w:t>
      </w:r>
      <w:r w:rsidRPr="00C30F5B">
        <w:rPr>
          <w:sz w:val="20"/>
          <w:szCs w:val="20"/>
          <w:lang w:val="en-US"/>
        </w:rPr>
        <w:t>:</w:t>
      </w:r>
    </w:p>
    <w:p w14:paraId="4A55AD09" w14:textId="77777777" w:rsidR="00F6160C" w:rsidRPr="00C30F5B" w:rsidRDefault="00F6160C" w:rsidP="00C30F5B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  <w:lang w:val="en-US"/>
        </w:rPr>
      </w:pPr>
      <w:r w:rsidRPr="00C30F5B">
        <w:rPr>
          <w:color w:val="auto"/>
          <w:sz w:val="20"/>
          <w:szCs w:val="20"/>
          <w:lang w:val="en-US"/>
        </w:rPr>
        <w:t>Small organizations -  can apply only for Lot 1 projects (25-50K €)</w:t>
      </w:r>
    </w:p>
    <w:p w14:paraId="53DC1C24" w14:textId="77777777" w:rsidR="00F6160C" w:rsidRPr="00C30F5B" w:rsidRDefault="00F6160C" w:rsidP="00C30F5B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  <w:lang w:val="en-US"/>
        </w:rPr>
      </w:pPr>
      <w:r w:rsidRPr="00C30F5B">
        <w:rPr>
          <w:color w:val="auto"/>
          <w:sz w:val="20"/>
          <w:szCs w:val="20"/>
          <w:lang w:val="en-US"/>
        </w:rPr>
        <w:t>Medium organizations - can apply for Lot 1 and Lot 2 projects (25-50k €/ 100-150k €)</w:t>
      </w:r>
    </w:p>
    <w:p w14:paraId="5BCD7E85" w14:textId="356DCD03" w:rsidR="00E45516" w:rsidRDefault="00F6160C" w:rsidP="0081703C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  <w:lang w:val="en-US"/>
        </w:rPr>
      </w:pPr>
      <w:r w:rsidRPr="00C30F5B">
        <w:rPr>
          <w:color w:val="auto"/>
          <w:sz w:val="20"/>
          <w:szCs w:val="20"/>
          <w:lang w:val="en-US"/>
        </w:rPr>
        <w:t>Large organizations - can apply for all the 3 Lots</w:t>
      </w:r>
    </w:p>
    <w:p w14:paraId="505ECE8C" w14:textId="100D1A8C" w:rsidR="00C30F5B" w:rsidRDefault="00C30F5B" w:rsidP="00C30F5B">
      <w:pPr>
        <w:pStyle w:val="Default"/>
        <w:spacing w:after="120"/>
        <w:ind w:left="720"/>
        <w:jc w:val="both"/>
        <w:rPr>
          <w:color w:val="auto"/>
          <w:sz w:val="20"/>
          <w:szCs w:val="20"/>
          <w:lang w:val="en-US"/>
        </w:rPr>
      </w:pPr>
    </w:p>
    <w:p w14:paraId="61C01911" w14:textId="77777777" w:rsidR="0081703C" w:rsidRPr="00C30F5B" w:rsidRDefault="0081703C" w:rsidP="00C30F5B">
      <w:pPr>
        <w:pStyle w:val="Default"/>
        <w:spacing w:after="120"/>
        <w:ind w:left="720"/>
        <w:jc w:val="both"/>
        <w:rPr>
          <w:color w:val="auto"/>
          <w:sz w:val="20"/>
          <w:szCs w:val="20"/>
          <w:lang w:val="en-US"/>
        </w:rPr>
      </w:pPr>
    </w:p>
    <w:p w14:paraId="757BA8FA" w14:textId="77777777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lastRenderedPageBreak/>
        <w:t>When is the application deadline?</w:t>
      </w:r>
    </w:p>
    <w:p w14:paraId="240E77E8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>The Call has multiple deadlines. That means that your organization can apply as the following:</w:t>
      </w:r>
    </w:p>
    <w:tbl>
      <w:tblPr>
        <w:tblStyle w:val="Tabellaelenco4-colore6"/>
        <w:tblW w:w="0" w:type="auto"/>
        <w:jc w:val="center"/>
        <w:tblLook w:val="04A0" w:firstRow="1" w:lastRow="0" w:firstColumn="1" w:lastColumn="0" w:noHBand="0" w:noVBand="1"/>
      </w:tblPr>
      <w:tblGrid>
        <w:gridCol w:w="2535"/>
        <w:gridCol w:w="2260"/>
        <w:gridCol w:w="2768"/>
      </w:tblGrid>
      <w:tr w:rsidR="00F6160C" w:rsidRPr="00C30F5B" w14:paraId="6355808A" w14:textId="77777777" w:rsidTr="00C30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</w:tcPr>
          <w:p w14:paraId="5A1AC723" w14:textId="77777777" w:rsidR="00F6160C" w:rsidRPr="00C30F5B" w:rsidRDefault="00F6160C" w:rsidP="00C30F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50566AF9" w14:textId="77777777" w:rsidR="00F6160C" w:rsidRPr="00C30F5B" w:rsidRDefault="00F6160C" w:rsidP="00C30F5B">
            <w:pPr>
              <w:autoSpaceDE w:val="0"/>
              <w:autoSpaceDN w:val="0"/>
              <w:adjustRightInd w:val="0"/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Deadline for Submission</w:t>
            </w:r>
          </w:p>
        </w:tc>
        <w:tc>
          <w:tcPr>
            <w:tcW w:w="2768" w:type="dxa"/>
          </w:tcPr>
          <w:p w14:paraId="1E52A375" w14:textId="77777777" w:rsidR="00F6160C" w:rsidRPr="00C30F5B" w:rsidRDefault="00F6160C" w:rsidP="00C30F5B">
            <w:pPr>
              <w:autoSpaceDE w:val="0"/>
              <w:autoSpaceDN w:val="0"/>
              <w:adjustRightInd w:val="0"/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 xml:space="preserve">Lots </w:t>
            </w:r>
          </w:p>
        </w:tc>
      </w:tr>
      <w:tr w:rsidR="001D43D2" w:rsidRPr="00C30F5B" w14:paraId="12AA0EB8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</w:tcPr>
          <w:p w14:paraId="62312172" w14:textId="60269E42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st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Deadline</w:t>
            </w:r>
          </w:p>
        </w:tc>
        <w:tc>
          <w:tcPr>
            <w:tcW w:w="2260" w:type="dxa"/>
          </w:tcPr>
          <w:p w14:paraId="11DD0129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st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September 2020</w:t>
            </w:r>
          </w:p>
          <w:p w14:paraId="2EF27068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768" w:type="dxa"/>
          </w:tcPr>
          <w:p w14:paraId="25CF0972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open to applications for Lot 1,2 and 3</w:t>
            </w:r>
          </w:p>
        </w:tc>
      </w:tr>
      <w:tr w:rsidR="001D43D2" w:rsidRPr="00C30F5B" w14:paraId="785B210D" w14:textId="77777777" w:rsidTr="00C30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</w:tcPr>
          <w:p w14:paraId="21035414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nd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Deadline</w:t>
            </w:r>
          </w:p>
          <w:p w14:paraId="17BD55B1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</w:tcPr>
          <w:p w14:paraId="558D1348" w14:textId="5112CB5D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st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November 2020</w:t>
            </w:r>
          </w:p>
        </w:tc>
        <w:tc>
          <w:tcPr>
            <w:tcW w:w="2768" w:type="dxa"/>
          </w:tcPr>
          <w:p w14:paraId="2029A2E6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open to applications for Lot 1, 2 and 3</w:t>
            </w:r>
          </w:p>
        </w:tc>
      </w:tr>
      <w:tr w:rsidR="001D43D2" w:rsidRPr="00C30F5B" w14:paraId="15A4463D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</w:tcPr>
          <w:p w14:paraId="5B0FE535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rd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Deadline</w:t>
            </w:r>
          </w:p>
        </w:tc>
        <w:tc>
          <w:tcPr>
            <w:tcW w:w="2260" w:type="dxa"/>
          </w:tcPr>
          <w:p w14:paraId="0BD91B44" w14:textId="591094FC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st</w:t>
            </w: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January 2021</w:t>
            </w:r>
          </w:p>
        </w:tc>
        <w:tc>
          <w:tcPr>
            <w:tcW w:w="2768" w:type="dxa"/>
          </w:tcPr>
          <w:p w14:paraId="22F7C098" w14:textId="77777777" w:rsidR="001D43D2" w:rsidRPr="00C30F5B" w:rsidRDefault="001D43D2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open to applications for Lot 1</w:t>
            </w:r>
          </w:p>
        </w:tc>
      </w:tr>
    </w:tbl>
    <w:p w14:paraId="5A273C6B" w14:textId="77777777" w:rsidR="00F6160C" w:rsidRPr="00C30F5B" w:rsidRDefault="00F6160C" w:rsidP="0081703C">
      <w:pPr>
        <w:spacing w:after="0"/>
        <w:jc w:val="both"/>
        <w:rPr>
          <w:rFonts w:ascii="Arial" w:hAnsi="Arial" w:cs="Arial"/>
          <w:lang w:val="en-US"/>
        </w:rPr>
      </w:pPr>
    </w:p>
    <w:p w14:paraId="2E45BFCC" w14:textId="77777777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t>How do I know my organization’s size?</w:t>
      </w:r>
    </w:p>
    <w:p w14:paraId="44DBB04E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 xml:space="preserve">You can refer to the following criteria. </w:t>
      </w:r>
    </w:p>
    <w:tbl>
      <w:tblPr>
        <w:tblStyle w:val="Tabellaelenco4-colore6"/>
        <w:tblW w:w="9077" w:type="dxa"/>
        <w:jc w:val="center"/>
        <w:tblLook w:val="04A0" w:firstRow="1" w:lastRow="0" w:firstColumn="1" w:lastColumn="0" w:noHBand="0" w:noVBand="1"/>
      </w:tblPr>
      <w:tblGrid>
        <w:gridCol w:w="2463"/>
        <w:gridCol w:w="1885"/>
        <w:gridCol w:w="2264"/>
        <w:gridCol w:w="2465"/>
      </w:tblGrid>
      <w:tr w:rsidR="00F6160C" w:rsidRPr="00C30F5B" w14:paraId="399E1B3C" w14:textId="77777777" w:rsidTr="00C30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3" w:type="dxa"/>
          </w:tcPr>
          <w:p w14:paraId="3B0766D8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 xml:space="preserve">Type </w:t>
            </w:r>
          </w:p>
        </w:tc>
        <w:tc>
          <w:tcPr>
            <w:tcW w:w="1885" w:type="dxa"/>
          </w:tcPr>
          <w:p w14:paraId="26014363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Annual Budget</w:t>
            </w:r>
          </w:p>
        </w:tc>
        <w:tc>
          <w:tcPr>
            <w:tcW w:w="2264" w:type="dxa"/>
          </w:tcPr>
          <w:p w14:paraId="1982FB6B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Staff</w:t>
            </w:r>
          </w:p>
        </w:tc>
        <w:tc>
          <w:tcPr>
            <w:tcW w:w="2465" w:type="dxa"/>
          </w:tcPr>
          <w:p w14:paraId="50F3F22A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Geographical outreach</w:t>
            </w:r>
          </w:p>
        </w:tc>
      </w:tr>
      <w:tr w:rsidR="00F6160C" w:rsidRPr="00C30F5B" w14:paraId="36326E35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3" w:type="dxa"/>
          </w:tcPr>
          <w:p w14:paraId="0187AECF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  <w:t>Small Organization</w:t>
            </w:r>
          </w:p>
        </w:tc>
        <w:tc>
          <w:tcPr>
            <w:tcW w:w="1885" w:type="dxa"/>
          </w:tcPr>
          <w:p w14:paraId="4D49DECA" w14:textId="77777777" w:rsidR="00F6160C" w:rsidRPr="00C30F5B" w:rsidRDefault="00F6160C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C30F5B">
              <w:rPr>
                <w:rFonts w:ascii="Arial" w:eastAsiaTheme="minorHAnsi" w:hAnsi="Arial" w:cs="Arial"/>
                <w:color w:val="000000"/>
                <w:sz w:val="20"/>
                <w:szCs w:val="20"/>
                <w:lang w:val="en-US" w:eastAsia="en-US"/>
              </w:rPr>
              <w:t>less than 130 million IQD</w:t>
            </w:r>
          </w:p>
        </w:tc>
        <w:tc>
          <w:tcPr>
            <w:tcW w:w="2264" w:type="dxa"/>
          </w:tcPr>
          <w:p w14:paraId="25F4CFF1" w14:textId="77777777" w:rsidR="00F6160C" w:rsidRPr="00C30F5B" w:rsidRDefault="00F6160C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Minimum2/3 permanent staff</w:t>
            </w:r>
          </w:p>
        </w:tc>
        <w:tc>
          <w:tcPr>
            <w:tcW w:w="2465" w:type="dxa"/>
          </w:tcPr>
          <w:p w14:paraId="3BDA065A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presence in at least1 district</w:t>
            </w:r>
          </w:p>
        </w:tc>
      </w:tr>
      <w:tr w:rsidR="00F6160C" w:rsidRPr="00C30F5B" w14:paraId="383C088F" w14:textId="77777777" w:rsidTr="00C30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3" w:type="dxa"/>
          </w:tcPr>
          <w:p w14:paraId="47BAB3FB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  <w:t>Medium Organization</w:t>
            </w:r>
          </w:p>
        </w:tc>
        <w:tc>
          <w:tcPr>
            <w:tcW w:w="1885" w:type="dxa"/>
          </w:tcPr>
          <w:p w14:paraId="60977E05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between 130 m and 452 million IQD</w:t>
            </w:r>
          </w:p>
        </w:tc>
        <w:tc>
          <w:tcPr>
            <w:tcW w:w="2264" w:type="dxa"/>
          </w:tcPr>
          <w:p w14:paraId="2ECA7DDA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Minimum 3/4 permanent staff</w:t>
            </w:r>
          </w:p>
          <w:p w14:paraId="294AED96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5" w:type="dxa"/>
          </w:tcPr>
          <w:p w14:paraId="3A8961B8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presence in at least 2 districts</w:t>
            </w:r>
          </w:p>
          <w:p w14:paraId="43769B99" w14:textId="77777777" w:rsidR="00DD3784" w:rsidRPr="00C30F5B" w:rsidRDefault="00DD3784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6160C" w:rsidRPr="00C30F5B" w14:paraId="2E4C861C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3" w:type="dxa"/>
          </w:tcPr>
          <w:p w14:paraId="722136D4" w14:textId="77777777" w:rsidR="00F6160C" w:rsidRPr="00C30F5B" w:rsidRDefault="00F6160C" w:rsidP="00C30F5B">
            <w:pPr>
              <w:pStyle w:val="Paragrafoelenco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  <w:t>Large Organization</w:t>
            </w:r>
          </w:p>
        </w:tc>
        <w:tc>
          <w:tcPr>
            <w:tcW w:w="1885" w:type="dxa"/>
          </w:tcPr>
          <w:p w14:paraId="7F415DE5" w14:textId="77777777" w:rsidR="00F6160C" w:rsidRPr="00C30F5B" w:rsidRDefault="00F6160C" w:rsidP="00C30F5B">
            <w:pPr>
              <w:autoSpaceDE w:val="0"/>
              <w:autoSpaceDN w:val="0"/>
              <w:adjustRightInd w:val="0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C30F5B">
              <w:rPr>
                <w:rFonts w:ascii="Arial" w:eastAsiaTheme="minorHAnsi" w:hAnsi="Arial" w:cs="Arial"/>
                <w:color w:val="000000"/>
                <w:sz w:val="20"/>
                <w:szCs w:val="20"/>
                <w:lang w:val="en-US" w:eastAsia="en-US"/>
              </w:rPr>
              <w:t>above 452 million IQD</w:t>
            </w:r>
          </w:p>
          <w:p w14:paraId="09BC1634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4" w:type="dxa"/>
          </w:tcPr>
          <w:p w14:paraId="0FAC6DAF" w14:textId="77777777" w:rsidR="00F6160C" w:rsidRPr="00C30F5B" w:rsidRDefault="00DD3784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</w:t>
            </w:r>
            <w:r w:rsidR="00F6160C"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inimum 5 permanent staff</w:t>
            </w:r>
          </w:p>
        </w:tc>
        <w:tc>
          <w:tcPr>
            <w:tcW w:w="2465" w:type="dxa"/>
          </w:tcPr>
          <w:p w14:paraId="64F88D2B" w14:textId="77777777" w:rsidR="00F6160C" w:rsidRPr="00C30F5B" w:rsidRDefault="00F6160C" w:rsidP="00C30F5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presence in at least 3 districts</w:t>
            </w:r>
          </w:p>
        </w:tc>
      </w:tr>
    </w:tbl>
    <w:p w14:paraId="48C1B1B2" w14:textId="77777777" w:rsidR="00F6160C" w:rsidRPr="00C30F5B" w:rsidRDefault="00F6160C" w:rsidP="0081703C">
      <w:pPr>
        <w:spacing w:after="0"/>
        <w:jc w:val="both"/>
        <w:rPr>
          <w:rFonts w:ascii="Arial" w:hAnsi="Arial" w:cs="Arial"/>
          <w:lang w:val="en-US"/>
        </w:rPr>
      </w:pPr>
    </w:p>
    <w:p w14:paraId="49CAC51E" w14:textId="77777777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t>How do I know if I am eligible?</w:t>
      </w:r>
    </w:p>
    <w:p w14:paraId="02F8E65F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>To be considered for evaluation, your organization must meet the following criteria: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3035"/>
        <w:gridCol w:w="4278"/>
      </w:tblGrid>
      <w:tr w:rsidR="00C30F5B" w:rsidRPr="00C30F5B" w14:paraId="5AE2C9B0" w14:textId="77777777" w:rsidTr="00E33669">
        <w:trPr>
          <w:jc w:val="center"/>
        </w:trPr>
        <w:tc>
          <w:tcPr>
            <w:tcW w:w="392" w:type="dxa"/>
            <w:tcBorders>
              <w:bottom w:val="single" w:sz="4" w:space="0" w:color="auto"/>
            </w:tcBorders>
          </w:tcPr>
          <w:p w14:paraId="21AA6F27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035" w:type="dxa"/>
            <w:tcBorders>
              <w:bottom w:val="single" w:sz="4" w:space="0" w:color="auto"/>
            </w:tcBorders>
          </w:tcPr>
          <w:p w14:paraId="2276FE31" w14:textId="77777777" w:rsidR="00F6160C" w:rsidRPr="00C30F5B" w:rsidRDefault="00F6160C" w:rsidP="00C30F5B">
            <w:pPr>
              <w:spacing w:after="120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Legal Registration</w:t>
            </w:r>
          </w:p>
        </w:tc>
        <w:tc>
          <w:tcPr>
            <w:tcW w:w="4278" w:type="dxa"/>
            <w:tcBorders>
              <w:bottom w:val="single" w:sz="4" w:space="0" w:color="auto"/>
            </w:tcBorders>
          </w:tcPr>
          <w:p w14:paraId="4A02722B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Is legally constituted and registered by the Directorate of NGOs in Federal Iraq (any form of NGO). </w:t>
            </w:r>
          </w:p>
        </w:tc>
      </w:tr>
      <w:tr w:rsidR="00C30F5B" w:rsidRPr="00C30F5B" w14:paraId="01D013AB" w14:textId="77777777" w:rsidTr="00E33669">
        <w:trPr>
          <w:jc w:val="center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14:paraId="49605E9F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</w:tcPr>
          <w:p w14:paraId="111AD301" w14:textId="77777777" w:rsidR="00F6160C" w:rsidRPr="00C30F5B" w:rsidRDefault="00F6160C" w:rsidP="00C30F5B">
            <w:pPr>
              <w:spacing w:after="12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Non-cumulative award</w:t>
            </w:r>
          </w:p>
        </w:tc>
        <w:tc>
          <w:tcPr>
            <w:tcW w:w="4278" w:type="dxa"/>
            <w:tcBorders>
              <w:top w:val="single" w:sz="4" w:space="0" w:color="auto"/>
              <w:bottom w:val="single" w:sz="4" w:space="0" w:color="auto"/>
            </w:tcBorders>
          </w:tcPr>
          <w:p w14:paraId="4D1D8DA7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Is not a recipient, lead applicant, co-applicant, or affiliated entity of a grant under EuropeAid/154792/DH/ACT/Multi</w:t>
            </w:r>
          </w:p>
        </w:tc>
      </w:tr>
      <w:tr w:rsidR="00C30F5B" w:rsidRPr="00C30F5B" w14:paraId="5EFFD938" w14:textId="77777777" w:rsidTr="00E33669">
        <w:trPr>
          <w:jc w:val="center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14:paraId="268F2BFD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</w:tcPr>
          <w:p w14:paraId="5D974A79" w14:textId="77777777" w:rsidR="00F6160C" w:rsidRPr="00C30F5B" w:rsidRDefault="00F6160C" w:rsidP="00C30F5B">
            <w:pPr>
              <w:spacing w:after="12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Entity’s Experience</w:t>
            </w:r>
          </w:p>
        </w:tc>
        <w:tc>
          <w:tcPr>
            <w:tcW w:w="4278" w:type="dxa"/>
            <w:tcBorders>
              <w:top w:val="single" w:sz="4" w:space="0" w:color="auto"/>
              <w:bottom w:val="single" w:sz="4" w:space="0" w:color="auto"/>
            </w:tcBorders>
          </w:tcPr>
          <w:p w14:paraId="1010F254" w14:textId="77777777" w:rsidR="00F6160C" w:rsidRPr="00C30F5B" w:rsidRDefault="00E45516" w:rsidP="00C30F5B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an demonstrate the following years of experience</w:t>
            </w:r>
          </w:p>
          <w:p w14:paraId="752D4958" w14:textId="6C307E75" w:rsidR="00F6160C" w:rsidRPr="00C30F5B" w:rsidRDefault="00E45516" w:rsidP="00C30F5B">
            <w:pPr>
              <w:pStyle w:val="Paragrafoelenco"/>
              <w:spacing w:after="120"/>
              <w:ind w:left="709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Lot 1: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min 1 year</w:t>
            </w:r>
          </w:p>
          <w:p w14:paraId="6563A416" w14:textId="1B703276" w:rsidR="00F6160C" w:rsidRPr="00C30F5B" w:rsidRDefault="00E45516" w:rsidP="00C30F5B">
            <w:pPr>
              <w:pStyle w:val="Paragrafoelenco"/>
              <w:spacing w:after="120"/>
              <w:ind w:left="709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Lot 2: 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min 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5 years</w:t>
            </w:r>
          </w:p>
          <w:p w14:paraId="3A9AC838" w14:textId="3A4C9855" w:rsidR="00F6160C" w:rsidRPr="00C30F5B" w:rsidRDefault="00E45516" w:rsidP="00C30F5B">
            <w:pPr>
              <w:pStyle w:val="Paragrafoelenco"/>
              <w:spacing w:after="120"/>
              <w:ind w:left="709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Lot 3: 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in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9 years</w:t>
            </w:r>
          </w:p>
        </w:tc>
      </w:tr>
      <w:tr w:rsidR="00C30F5B" w:rsidRPr="00C30F5B" w14:paraId="6F8A994E" w14:textId="77777777" w:rsidTr="00E33669">
        <w:trPr>
          <w:jc w:val="center"/>
        </w:trPr>
        <w:tc>
          <w:tcPr>
            <w:tcW w:w="392" w:type="dxa"/>
            <w:tcBorders>
              <w:bottom w:val="single" w:sz="4" w:space="0" w:color="auto"/>
            </w:tcBorders>
          </w:tcPr>
          <w:p w14:paraId="183D211F" w14:textId="77777777" w:rsidR="00F6160C" w:rsidRPr="00C30F5B" w:rsidRDefault="00E45516" w:rsidP="00C30F5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035" w:type="dxa"/>
            <w:tcBorders>
              <w:bottom w:val="single" w:sz="4" w:space="0" w:color="auto"/>
            </w:tcBorders>
          </w:tcPr>
          <w:p w14:paraId="7C2C6BB0" w14:textId="3F6124B6" w:rsidR="00F6160C" w:rsidRPr="00C30F5B" w:rsidRDefault="00C30F5B" w:rsidP="00C30F5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    </w:t>
            </w:r>
            <w:r w:rsidR="00E45516"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Exclusion Criteria</w:t>
            </w:r>
          </w:p>
        </w:tc>
        <w:tc>
          <w:tcPr>
            <w:tcW w:w="4278" w:type="dxa"/>
            <w:tcBorders>
              <w:bottom w:val="single" w:sz="4" w:space="0" w:color="auto"/>
            </w:tcBorders>
          </w:tcPr>
          <w:p w14:paraId="4F2C3F70" w14:textId="77777777" w:rsidR="00F6160C" w:rsidRPr="00C30F5B" w:rsidRDefault="00DD3784" w:rsidP="00C30F5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Is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not in any of the exclusion criteria mentioned in the Declaration on </w:t>
            </w:r>
            <w:proofErr w:type="spellStart"/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Honour</w:t>
            </w:r>
            <w:proofErr w:type="spellEnd"/>
            <w:r w:rsidR="00E45516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(Annex</w:t>
            </w:r>
            <w:r w:rsidR="00E45516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3</w:t>
            </w:r>
            <w:r w:rsidR="00F6160C" w:rsidRPr="00C30F5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6160C" w:rsidRPr="00C30F5B" w14:paraId="1AF8A3FF" w14:textId="77777777" w:rsidTr="00E33669">
        <w:trPr>
          <w:jc w:val="center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14:paraId="33283B93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</w:tcPr>
          <w:p w14:paraId="29824228" w14:textId="77777777" w:rsidR="00F6160C" w:rsidRPr="00C30F5B" w:rsidRDefault="00F6160C" w:rsidP="00C30F5B">
            <w:pPr>
              <w:spacing w:after="12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Minimum financial capacity</w:t>
            </w:r>
          </w:p>
        </w:tc>
        <w:tc>
          <w:tcPr>
            <w:tcW w:w="4278" w:type="dxa"/>
            <w:tcBorders>
              <w:top w:val="single" w:sz="4" w:space="0" w:color="auto"/>
              <w:bottom w:val="single" w:sz="4" w:space="0" w:color="auto"/>
            </w:tcBorders>
          </w:tcPr>
          <w:p w14:paraId="0530C483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Annual budget 2019</w:t>
            </w:r>
          </w:p>
          <w:p w14:paraId="3AEF901C" w14:textId="7935E478" w:rsidR="00F6160C" w:rsidRPr="00C30F5B" w:rsidRDefault="00E45516" w:rsidP="00C30F5B">
            <w:pPr>
              <w:pStyle w:val="Paragrafoelenco"/>
              <w:spacing w:after="120"/>
              <w:ind w:left="33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1: </w:t>
            </w:r>
            <w:r w:rsidR="001D43D2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min. </w:t>
            </w:r>
            <w:r w:rsidR="00F6160C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33 </w:t>
            </w:r>
            <w:proofErr w:type="spellStart"/>
            <w:proofErr w:type="gramStart"/>
            <w:r w:rsidR="00F6160C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millions</w:t>
            </w:r>
            <w:proofErr w:type="spellEnd"/>
            <w:proofErr w:type="gramEnd"/>
            <w:r w:rsidR="00F6160C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IQD</w:t>
            </w:r>
          </w:p>
          <w:p w14:paraId="137856B2" w14:textId="09045382" w:rsidR="00F6160C" w:rsidRPr="00C30F5B" w:rsidRDefault="00F6160C" w:rsidP="00C30F5B">
            <w:pPr>
              <w:pStyle w:val="Paragrafoelenco"/>
              <w:spacing w:after="120"/>
              <w:ind w:left="33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</w:t>
            </w:r>
            <w:proofErr w:type="gramStart"/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2 </w:t>
            </w:r>
            <w:r w:rsidR="00E45516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  <w:proofErr w:type="gramEnd"/>
            <w:r w:rsidR="001D43D2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min.</w:t>
            </w: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130</w:t>
            </w:r>
            <w:r w:rsidR="001D43D2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millions</w:t>
            </w:r>
            <w:proofErr w:type="spellEnd"/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IQD</w:t>
            </w:r>
          </w:p>
          <w:p w14:paraId="0AA299F3" w14:textId="77777777" w:rsidR="00F6160C" w:rsidRPr="00C30F5B" w:rsidRDefault="00F6160C" w:rsidP="00C30F5B">
            <w:pPr>
              <w:pStyle w:val="Paragrafoelenco"/>
              <w:spacing w:after="120"/>
              <w:ind w:left="33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Lot 3</w:t>
            </w:r>
            <w:r w:rsidR="00E45516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: </w:t>
            </w: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above 452 millions IQD</w:t>
            </w:r>
          </w:p>
        </w:tc>
      </w:tr>
      <w:tr w:rsidR="00F6160C" w:rsidRPr="00C30F5B" w14:paraId="6C242992" w14:textId="77777777" w:rsidTr="00E33669">
        <w:trPr>
          <w:jc w:val="center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14:paraId="4FB82143" w14:textId="77777777" w:rsidR="00F6160C" w:rsidRPr="00C30F5B" w:rsidRDefault="00F6160C" w:rsidP="00C30F5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</w:tcPr>
          <w:p w14:paraId="65E0E6F2" w14:textId="77777777" w:rsidR="00F6160C" w:rsidRPr="00C30F5B" w:rsidRDefault="00F6160C" w:rsidP="00C30F5B">
            <w:pPr>
              <w:spacing w:after="12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Organization’s size</w:t>
            </w:r>
          </w:p>
        </w:tc>
        <w:tc>
          <w:tcPr>
            <w:tcW w:w="4278" w:type="dxa"/>
            <w:tcBorders>
              <w:top w:val="single" w:sz="4" w:space="0" w:color="auto"/>
              <w:bottom w:val="single" w:sz="4" w:space="0" w:color="auto"/>
            </w:tcBorders>
          </w:tcPr>
          <w:p w14:paraId="0008C96E" w14:textId="77777777" w:rsidR="00F6160C" w:rsidRPr="00C30F5B" w:rsidRDefault="00DD3784" w:rsidP="00C30F5B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F6160C" w:rsidRPr="00C30F5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emonstrate to have the organizational size necessary to apply to the Lot </w:t>
            </w:r>
          </w:p>
        </w:tc>
      </w:tr>
    </w:tbl>
    <w:p w14:paraId="7F24305C" w14:textId="2E1A449A" w:rsidR="00F6160C" w:rsidRPr="0081703C" w:rsidRDefault="00C30F5B" w:rsidP="0081703C">
      <w:pPr>
        <w:pStyle w:val="Default"/>
        <w:shd w:val="clear" w:color="auto" w:fill="FABF8F" w:themeFill="accent6" w:themeFillTint="99"/>
        <w:spacing w:after="240"/>
        <w:ind w:left="426" w:hanging="425"/>
        <w:jc w:val="both"/>
        <w:rPr>
          <w:color w:val="auto"/>
          <w:sz w:val="20"/>
          <w:szCs w:val="20"/>
          <w:lang w:val="en-US"/>
        </w:rPr>
      </w:pPr>
      <w:r w:rsidRPr="00A51FA4">
        <w:rPr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57216" behindDoc="1" locked="0" layoutInCell="1" allowOverlap="1" wp14:anchorId="126C9D66" wp14:editId="6BDF1531">
            <wp:simplePos x="0" y="0"/>
            <wp:positionH relativeFrom="margin">
              <wp:posOffset>0</wp:posOffset>
            </wp:positionH>
            <wp:positionV relativeFrom="paragraph">
              <wp:posOffset>6350</wp:posOffset>
            </wp:positionV>
            <wp:extent cx="288925" cy="287020"/>
            <wp:effectExtent l="0" t="0" r="0" b="0"/>
            <wp:wrapSquare wrapText="bothSides"/>
            <wp:docPr id="7" name="imagen" descr="importante, attenzione, pericolo Ic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" descr="importante, attenzione, pericolo Icon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7CDC">
        <w:rPr>
          <w:b/>
          <w:bCs/>
          <w:color w:val="auto"/>
          <w:sz w:val="18"/>
          <w:szCs w:val="18"/>
          <w:u w:val="single"/>
          <w:shd w:val="clear" w:color="auto" w:fill="FABF8F" w:themeFill="accent6" w:themeFillTint="99"/>
          <w:lang w:val="en-US"/>
        </w:rPr>
        <w:t xml:space="preserve">For Activity 1.5 – </w:t>
      </w:r>
      <w:r w:rsidRPr="00007CDC">
        <w:rPr>
          <w:b/>
          <w:bCs/>
          <w:color w:val="auto"/>
          <w:sz w:val="20"/>
          <w:szCs w:val="18"/>
          <w:u w:val="single"/>
          <w:shd w:val="clear" w:color="auto" w:fill="FABF8F" w:themeFill="accent6" w:themeFillTint="99"/>
          <w:lang w:val="en-US"/>
        </w:rPr>
        <w:t>Stream</w:t>
      </w:r>
      <w:r w:rsidRPr="00007CDC">
        <w:rPr>
          <w:b/>
          <w:bCs/>
          <w:color w:val="auto"/>
          <w:sz w:val="18"/>
          <w:szCs w:val="18"/>
          <w:u w:val="single"/>
          <w:shd w:val="clear" w:color="auto" w:fill="FABF8F" w:themeFill="accent6" w:themeFillTint="99"/>
          <w:lang w:val="en-US"/>
        </w:rPr>
        <w:t xml:space="preserve"> 1</w:t>
      </w:r>
      <w:r w:rsidRPr="00007CDC">
        <w:rPr>
          <w:color w:val="auto"/>
          <w:sz w:val="18"/>
          <w:szCs w:val="18"/>
          <w:shd w:val="clear" w:color="auto" w:fill="FABF8F" w:themeFill="accent6" w:themeFillTint="99"/>
          <w:lang w:val="en-US"/>
        </w:rPr>
        <w:t>&gt; The organization has a safeguarding and data protection policy ensuring the confidential treatment of SGBV survivors</w:t>
      </w:r>
      <w:r w:rsidRPr="00A51FA4">
        <w:rPr>
          <w:color w:val="auto"/>
          <w:sz w:val="20"/>
          <w:szCs w:val="20"/>
          <w:lang w:val="en-US"/>
        </w:rPr>
        <w:t>.</w:t>
      </w:r>
    </w:p>
    <w:p w14:paraId="2A604551" w14:textId="77777777" w:rsidR="00F6160C" w:rsidRPr="00C30F5B" w:rsidRDefault="00F6160C" w:rsidP="00C30F5B">
      <w:pPr>
        <w:shd w:val="clear" w:color="auto" w:fill="FBD4B4" w:themeFill="accent6" w:themeFillTint="66"/>
        <w:spacing w:after="120" w:line="240" w:lineRule="auto"/>
        <w:jc w:val="both"/>
        <w:rPr>
          <w:rFonts w:ascii="Arial" w:hAnsi="Arial" w:cs="Arial"/>
          <w:b/>
          <w:bCs/>
          <w:color w:val="000000"/>
          <w:lang w:val="en-US"/>
        </w:rPr>
      </w:pPr>
      <w:r w:rsidRPr="00C30F5B">
        <w:rPr>
          <w:rFonts w:ascii="Arial" w:hAnsi="Arial" w:cs="Arial"/>
          <w:b/>
          <w:bCs/>
          <w:color w:val="000000"/>
          <w:lang w:val="en-US"/>
        </w:rPr>
        <w:t>What kinds of projects can be proposed?</w:t>
      </w:r>
    </w:p>
    <w:p w14:paraId="4A4FECB2" w14:textId="77777777" w:rsidR="00F6160C" w:rsidRPr="00C30F5B" w:rsidRDefault="00F6160C" w:rsidP="00C30F5B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C30F5B">
        <w:rPr>
          <w:rFonts w:ascii="Arial" w:hAnsi="Arial" w:cs="Arial"/>
          <w:color w:val="000000"/>
          <w:sz w:val="20"/>
          <w:szCs w:val="20"/>
          <w:lang w:val="en-US"/>
        </w:rPr>
        <w:t>Applicants can propose projects meeting the following criteria:</w:t>
      </w:r>
    </w:p>
    <w:tbl>
      <w:tblPr>
        <w:tblStyle w:val="Tabellaelenco4-colore6"/>
        <w:tblW w:w="0" w:type="auto"/>
        <w:tblLook w:val="04A0" w:firstRow="1" w:lastRow="0" w:firstColumn="1" w:lastColumn="0" w:noHBand="0" w:noVBand="1"/>
      </w:tblPr>
      <w:tblGrid>
        <w:gridCol w:w="2318"/>
        <w:gridCol w:w="2309"/>
        <w:gridCol w:w="2351"/>
        <w:gridCol w:w="2310"/>
      </w:tblGrid>
      <w:tr w:rsidR="00F6160C" w:rsidRPr="00C30F5B" w14:paraId="257C6DC4" w14:textId="77777777" w:rsidTr="00C30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7738524F" w14:textId="77777777" w:rsidR="00F6160C" w:rsidRPr="00C30F5B" w:rsidRDefault="00F6160C" w:rsidP="00C30F5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309" w:type="dxa"/>
          </w:tcPr>
          <w:p w14:paraId="46BAA53F" w14:textId="77777777" w:rsidR="00F6160C" w:rsidRPr="00C30F5B" w:rsidRDefault="00E559EE" w:rsidP="00C30F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C30F5B">
              <w:rPr>
                <w:rFonts w:ascii="Arial" w:hAnsi="Arial" w:cs="Arial"/>
                <w:lang w:val="en-US"/>
              </w:rPr>
              <w:t>Lot 1</w:t>
            </w:r>
          </w:p>
        </w:tc>
        <w:tc>
          <w:tcPr>
            <w:tcW w:w="2351" w:type="dxa"/>
          </w:tcPr>
          <w:p w14:paraId="0162482B" w14:textId="77777777" w:rsidR="00F6160C" w:rsidRPr="00C30F5B" w:rsidRDefault="00E559EE" w:rsidP="00C30F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C30F5B">
              <w:rPr>
                <w:rFonts w:ascii="Arial" w:hAnsi="Arial" w:cs="Arial"/>
                <w:lang w:val="en-US"/>
              </w:rPr>
              <w:t>Lot 2</w:t>
            </w:r>
          </w:p>
        </w:tc>
        <w:tc>
          <w:tcPr>
            <w:tcW w:w="2310" w:type="dxa"/>
          </w:tcPr>
          <w:p w14:paraId="32774AC6" w14:textId="77777777" w:rsidR="00F6160C" w:rsidRPr="00C30F5B" w:rsidRDefault="00E559EE" w:rsidP="00C30F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C30F5B">
              <w:rPr>
                <w:rFonts w:ascii="Arial" w:hAnsi="Arial" w:cs="Arial"/>
                <w:lang w:val="en-US"/>
              </w:rPr>
              <w:t>Lot 3</w:t>
            </w:r>
          </w:p>
        </w:tc>
      </w:tr>
      <w:tr w:rsidR="00F6160C" w:rsidRPr="00C30F5B" w14:paraId="28F2E364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318BC365" w14:textId="77777777" w:rsidR="00F6160C" w:rsidRPr="00C30F5B" w:rsidRDefault="00F6160C" w:rsidP="00C30F5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When can I apply?</w:t>
            </w:r>
          </w:p>
        </w:tc>
        <w:tc>
          <w:tcPr>
            <w:tcW w:w="2309" w:type="dxa"/>
          </w:tcPr>
          <w:p w14:paraId="59D3CAF3" w14:textId="6F52EC52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st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Sep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20</w:t>
            </w:r>
          </w:p>
          <w:p w14:paraId="2D1DB8E3" w14:textId="5B40E76B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nd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Nov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20</w:t>
            </w:r>
          </w:p>
          <w:p w14:paraId="684AAE22" w14:textId="2B9AE3C9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rd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 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Jan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2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351" w:type="dxa"/>
          </w:tcPr>
          <w:p w14:paraId="14074E1B" w14:textId="702160B8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st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 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Sep 20</w:t>
            </w:r>
          </w:p>
          <w:p w14:paraId="774C3008" w14:textId="4B8876B8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nd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Nov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20</w:t>
            </w:r>
          </w:p>
          <w:p w14:paraId="40DB9506" w14:textId="77777777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</w:tcPr>
          <w:p w14:paraId="42F0D33B" w14:textId="4D3F3EB2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st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Sep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20</w:t>
            </w:r>
          </w:p>
          <w:p w14:paraId="2BE46649" w14:textId="0E5501F1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30F5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nd</w:t>
            </w:r>
            <w:r w:rsidR="00452554"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Deadline: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1 Nov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20</w:t>
            </w:r>
          </w:p>
          <w:p w14:paraId="7434CEEA" w14:textId="77777777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6160C" w:rsidRPr="00C30F5B" w14:paraId="295334A5" w14:textId="77777777" w:rsidTr="00C30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090A3AE3" w14:textId="77777777" w:rsidR="00F6160C" w:rsidRPr="00C30F5B" w:rsidRDefault="00F6160C" w:rsidP="00C30F5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For how much funding?</w:t>
            </w:r>
          </w:p>
          <w:p w14:paraId="6881DBD9" w14:textId="77777777" w:rsidR="00F6160C" w:rsidRPr="00C30F5B" w:rsidRDefault="00F6160C" w:rsidP="00C30F5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9" w:type="dxa"/>
          </w:tcPr>
          <w:p w14:paraId="58DBF550" w14:textId="77777777" w:rsidR="00F6160C" w:rsidRPr="00C30F5B" w:rsidRDefault="00F6160C" w:rsidP="00C30F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25k-50k €</w:t>
            </w:r>
          </w:p>
        </w:tc>
        <w:tc>
          <w:tcPr>
            <w:tcW w:w="2351" w:type="dxa"/>
          </w:tcPr>
          <w:p w14:paraId="095EE3F8" w14:textId="77777777" w:rsidR="00F6160C" w:rsidRPr="00C30F5B" w:rsidRDefault="00F6160C" w:rsidP="00C30F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100k-150k €</w:t>
            </w:r>
          </w:p>
        </w:tc>
        <w:tc>
          <w:tcPr>
            <w:tcW w:w="2310" w:type="dxa"/>
          </w:tcPr>
          <w:p w14:paraId="185C55C5" w14:textId="77777777" w:rsidR="00F6160C" w:rsidRPr="00C30F5B" w:rsidRDefault="00F6160C" w:rsidP="00C30F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300k-350k €</w:t>
            </w:r>
          </w:p>
        </w:tc>
      </w:tr>
      <w:tr w:rsidR="00F6160C" w:rsidRPr="00C30F5B" w14:paraId="42078103" w14:textId="77777777" w:rsidTr="00C30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78175BC1" w14:textId="77777777" w:rsidR="00F6160C" w:rsidRPr="00C30F5B" w:rsidRDefault="00F6160C" w:rsidP="00C30F5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0F5B">
              <w:rPr>
                <w:rFonts w:ascii="Arial" w:hAnsi="Arial" w:cs="Arial"/>
                <w:sz w:val="20"/>
                <w:szCs w:val="20"/>
                <w:lang w:val="en-US"/>
              </w:rPr>
              <w:t>For which duration?</w:t>
            </w:r>
          </w:p>
        </w:tc>
        <w:tc>
          <w:tcPr>
            <w:tcW w:w="2309" w:type="dxa"/>
          </w:tcPr>
          <w:p w14:paraId="3327F5B2" w14:textId="77777777" w:rsidR="00F6160C" w:rsidRPr="00C30F5B" w:rsidRDefault="00D546B5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Min. 6 Max. 13 months</w:t>
            </w:r>
          </w:p>
        </w:tc>
        <w:tc>
          <w:tcPr>
            <w:tcW w:w="2351" w:type="dxa"/>
          </w:tcPr>
          <w:p w14:paraId="1F098DCD" w14:textId="77777777" w:rsidR="00F6160C" w:rsidRPr="00C30F5B" w:rsidRDefault="00D546B5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Min. 9 Max. 16 months</w:t>
            </w:r>
          </w:p>
          <w:p w14:paraId="4C91A6AC" w14:textId="77777777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</w:tcPr>
          <w:p w14:paraId="0AB3ECFA" w14:textId="6E3834C4" w:rsidR="00F6160C" w:rsidRPr="00C30F5B" w:rsidRDefault="00D546B5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>Min. 12 Max. 1</w:t>
            </w:r>
            <w:r w:rsidR="001D43D2" w:rsidRPr="00C30F5B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30F5B">
              <w:rPr>
                <w:rFonts w:ascii="Arial" w:hAnsi="Arial" w:cs="Arial"/>
                <w:sz w:val="18"/>
                <w:szCs w:val="18"/>
                <w:lang w:val="en-US"/>
              </w:rPr>
              <w:t xml:space="preserve"> months</w:t>
            </w:r>
          </w:p>
          <w:p w14:paraId="3396FA27" w14:textId="77777777" w:rsidR="00F6160C" w:rsidRPr="00C30F5B" w:rsidRDefault="00F6160C" w:rsidP="00C30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34ED1793" w14:textId="77777777" w:rsidR="00F6160C" w:rsidRPr="00C30F5B" w:rsidRDefault="00F6160C" w:rsidP="00C30F5B">
      <w:pPr>
        <w:pStyle w:val="Default"/>
        <w:spacing w:after="120"/>
        <w:jc w:val="both"/>
        <w:rPr>
          <w:sz w:val="20"/>
          <w:szCs w:val="20"/>
          <w:lang w:val="en-US"/>
        </w:rPr>
      </w:pPr>
    </w:p>
    <w:p w14:paraId="612DD787" w14:textId="7F0F579A" w:rsidR="00F6160C" w:rsidRPr="00C30F5B" w:rsidRDefault="00F6160C" w:rsidP="00C30F5B">
      <w:pPr>
        <w:pStyle w:val="Default"/>
        <w:spacing w:after="120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 xml:space="preserve">To know more about eligible </w:t>
      </w:r>
      <w:proofErr w:type="gramStart"/>
      <w:r w:rsidRPr="00C30F5B">
        <w:rPr>
          <w:sz w:val="20"/>
          <w:szCs w:val="20"/>
          <w:lang w:val="en-US"/>
        </w:rPr>
        <w:t>activities</w:t>
      </w:r>
      <w:proofErr w:type="gramEnd"/>
      <w:r w:rsidRPr="00C30F5B">
        <w:rPr>
          <w:sz w:val="20"/>
          <w:szCs w:val="20"/>
          <w:lang w:val="en-US"/>
        </w:rPr>
        <w:t xml:space="preserve"> check the full call of proposals </w:t>
      </w:r>
      <w:r w:rsidR="00AA06BF" w:rsidRPr="00C30F5B">
        <w:rPr>
          <w:sz w:val="20"/>
          <w:szCs w:val="20"/>
          <w:lang w:val="en-US"/>
        </w:rPr>
        <w:t xml:space="preserve">on </w:t>
      </w:r>
      <w:r w:rsidR="00E559EE" w:rsidRPr="00C30F5B">
        <w:rPr>
          <w:sz w:val="20"/>
          <w:szCs w:val="20"/>
          <w:lang w:val="en-US"/>
        </w:rPr>
        <w:t xml:space="preserve">NCCI website: </w:t>
      </w:r>
      <w:r w:rsidR="00E559EE" w:rsidRPr="00C30F5B">
        <w:rPr>
          <w:b/>
          <w:bCs/>
          <w:color w:val="0070C0"/>
          <w:sz w:val="20"/>
          <w:szCs w:val="20"/>
          <w:lang w:val="en-US"/>
        </w:rPr>
        <w:t>https://www.ncciraq.org/en/</w:t>
      </w:r>
      <w:r w:rsidR="00AA06BF" w:rsidRPr="00C30F5B">
        <w:rPr>
          <w:sz w:val="20"/>
          <w:szCs w:val="20"/>
          <w:lang w:val="en-US"/>
        </w:rPr>
        <w:t>.</w:t>
      </w:r>
    </w:p>
    <w:p w14:paraId="36B23B92" w14:textId="77777777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t>What is not eligible for funding?</w:t>
      </w:r>
    </w:p>
    <w:p w14:paraId="6EA42E99" w14:textId="77777777" w:rsidR="00F6160C" w:rsidRPr="00C30F5B" w:rsidRDefault="00F6160C" w:rsidP="00C30F5B">
      <w:pPr>
        <w:jc w:val="both"/>
        <w:rPr>
          <w:rFonts w:ascii="Arial" w:hAnsi="Arial" w:cs="Arial"/>
          <w:lang w:val="en-US"/>
        </w:rPr>
      </w:pPr>
      <w:r w:rsidRPr="00C30F5B">
        <w:rPr>
          <w:rFonts w:ascii="Arial" w:hAnsi="Arial" w:cs="Arial"/>
          <w:lang w:val="en-US"/>
        </w:rPr>
        <w:t>That includes, but is not limited to:</w:t>
      </w:r>
    </w:p>
    <w:p w14:paraId="2B9C8644" w14:textId="77777777" w:rsidR="00F6160C" w:rsidRPr="00C30F5B" w:rsidRDefault="00F6160C" w:rsidP="00C30F5B">
      <w:pPr>
        <w:pStyle w:val="Paragrafoelenco"/>
        <w:numPr>
          <w:ilvl w:val="0"/>
          <w:numId w:val="4"/>
        </w:numPr>
        <w:spacing w:after="120" w:line="240" w:lineRule="auto"/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individual sponsorships for participation in workshops, seminars, conferences and congresses;</w:t>
      </w:r>
    </w:p>
    <w:p w14:paraId="2ED79AB9" w14:textId="77777777" w:rsidR="00F6160C" w:rsidRPr="00C30F5B" w:rsidRDefault="00F6160C" w:rsidP="00C30F5B">
      <w:pPr>
        <w:pStyle w:val="Paragrafoelenco"/>
        <w:numPr>
          <w:ilvl w:val="0"/>
          <w:numId w:val="4"/>
        </w:numPr>
        <w:spacing w:after="120" w:line="240" w:lineRule="auto"/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actions concerned only or mainly with individual scholarships for studies or training courses.</w:t>
      </w:r>
    </w:p>
    <w:p w14:paraId="205771A4" w14:textId="77777777" w:rsidR="00F6160C" w:rsidRPr="00C30F5B" w:rsidRDefault="00F6160C" w:rsidP="00C30F5B">
      <w:pPr>
        <w:pStyle w:val="Default"/>
        <w:numPr>
          <w:ilvl w:val="1"/>
          <w:numId w:val="5"/>
        </w:numPr>
        <w:spacing w:after="120"/>
        <w:ind w:left="851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 xml:space="preserve">Debts and debt service charges (interest); </w:t>
      </w:r>
    </w:p>
    <w:p w14:paraId="55AF7087" w14:textId="77777777" w:rsidR="00F6160C" w:rsidRPr="00C30F5B" w:rsidRDefault="00F6160C" w:rsidP="00C30F5B">
      <w:pPr>
        <w:pStyle w:val="Default"/>
        <w:numPr>
          <w:ilvl w:val="1"/>
          <w:numId w:val="5"/>
        </w:numPr>
        <w:spacing w:after="120"/>
        <w:ind w:left="851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 xml:space="preserve">Costs declared by the Grantee and financed by another action or work </w:t>
      </w:r>
      <w:proofErr w:type="spellStart"/>
      <w:r w:rsidRPr="00C30F5B">
        <w:rPr>
          <w:sz w:val="20"/>
          <w:szCs w:val="20"/>
          <w:lang w:val="en-US"/>
        </w:rPr>
        <w:t>programme</w:t>
      </w:r>
      <w:proofErr w:type="spellEnd"/>
      <w:r w:rsidRPr="00C30F5B">
        <w:rPr>
          <w:sz w:val="20"/>
          <w:szCs w:val="20"/>
          <w:lang w:val="en-US"/>
        </w:rPr>
        <w:t xml:space="preserve"> receiving a European Union grant (including through the European Development Fund); </w:t>
      </w:r>
    </w:p>
    <w:p w14:paraId="467CBD9D" w14:textId="77777777" w:rsidR="00F6160C" w:rsidRPr="00C30F5B" w:rsidRDefault="00F6160C" w:rsidP="00C30F5B">
      <w:pPr>
        <w:pStyle w:val="Default"/>
        <w:numPr>
          <w:ilvl w:val="1"/>
          <w:numId w:val="5"/>
        </w:numPr>
        <w:spacing w:after="120"/>
        <w:ind w:left="851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 xml:space="preserve">Purchases of land or buildings; </w:t>
      </w:r>
    </w:p>
    <w:p w14:paraId="3A831052" w14:textId="77777777" w:rsidR="00F6160C" w:rsidRPr="00C30F5B" w:rsidRDefault="00F6160C" w:rsidP="00C30F5B">
      <w:pPr>
        <w:pStyle w:val="Default"/>
        <w:numPr>
          <w:ilvl w:val="1"/>
          <w:numId w:val="5"/>
        </w:numPr>
        <w:spacing w:after="120"/>
        <w:ind w:left="851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 xml:space="preserve">Currency exchange losses; </w:t>
      </w:r>
    </w:p>
    <w:p w14:paraId="5308436C" w14:textId="3744105F" w:rsidR="0081703C" w:rsidRPr="0081703C" w:rsidRDefault="00F6160C" w:rsidP="0081703C">
      <w:pPr>
        <w:pStyle w:val="Default"/>
        <w:numPr>
          <w:ilvl w:val="1"/>
          <w:numId w:val="5"/>
        </w:numPr>
        <w:spacing w:after="120"/>
        <w:ind w:left="851"/>
        <w:jc w:val="both"/>
        <w:rPr>
          <w:sz w:val="20"/>
          <w:szCs w:val="20"/>
          <w:lang w:val="en-US"/>
        </w:rPr>
      </w:pPr>
      <w:r w:rsidRPr="00C30F5B">
        <w:rPr>
          <w:sz w:val="20"/>
          <w:szCs w:val="20"/>
          <w:lang w:val="en-US"/>
        </w:rPr>
        <w:t>Credits to third parties</w:t>
      </w:r>
      <w:r w:rsidR="00ED5A0E" w:rsidRPr="00C30F5B">
        <w:rPr>
          <w:sz w:val="20"/>
          <w:szCs w:val="20"/>
          <w:lang w:val="en-US"/>
        </w:rPr>
        <w:t>.</w:t>
      </w:r>
      <w:r w:rsidRPr="00C30F5B">
        <w:rPr>
          <w:sz w:val="20"/>
          <w:szCs w:val="20"/>
          <w:lang w:val="en-US"/>
        </w:rPr>
        <w:t xml:space="preserve"> </w:t>
      </w:r>
    </w:p>
    <w:p w14:paraId="2C871356" w14:textId="16C91962" w:rsidR="00F6160C" w:rsidRPr="0081703C" w:rsidRDefault="0081703C" w:rsidP="0081703C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E13EA42" wp14:editId="5AE80B16">
            <wp:simplePos x="0" y="0"/>
            <wp:positionH relativeFrom="column">
              <wp:posOffset>1905</wp:posOffset>
            </wp:positionH>
            <wp:positionV relativeFrom="paragraph">
              <wp:posOffset>369570</wp:posOffset>
            </wp:positionV>
            <wp:extent cx="5760720" cy="302006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nt Awarding Process Timelin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2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60C" w:rsidRPr="00C30F5B">
        <w:rPr>
          <w:rFonts w:ascii="Arial" w:hAnsi="Arial" w:cs="Arial"/>
          <w:b/>
          <w:bCs/>
          <w:lang w:val="en-US"/>
        </w:rPr>
        <w:t>Timeline</w:t>
      </w:r>
    </w:p>
    <w:p w14:paraId="54FD8C67" w14:textId="100B641D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lastRenderedPageBreak/>
        <w:t>Information and Technical assistance</w:t>
      </w:r>
    </w:p>
    <w:p w14:paraId="1E00342C" w14:textId="77777777" w:rsidR="00F6160C" w:rsidRPr="00C30F5B" w:rsidRDefault="00F6160C" w:rsidP="00C30F5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To support applicants in the preparation of their proposal, OXFAM will organize technical assistance and information activities such as:</w:t>
      </w:r>
    </w:p>
    <w:p w14:paraId="08DE2CEB" w14:textId="77777777" w:rsidR="00F6160C" w:rsidRPr="00C30F5B" w:rsidRDefault="00F6160C" w:rsidP="00C30F5B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Info sessions (on-site and/or online) &gt; during which all</w:t>
      </w:r>
    </w:p>
    <w:p w14:paraId="4E6DD7F0" w14:textId="77777777" w:rsidR="00F6160C" w:rsidRPr="00C30F5B" w:rsidRDefault="00F6160C" w:rsidP="00C30F5B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Technical assistance sessions (on-site and/or online) &gt; supporting applicants with practical exercises on how to fill the different documents and how to design a successful proposal.</w:t>
      </w:r>
    </w:p>
    <w:p w14:paraId="6701DE3D" w14:textId="77777777" w:rsidR="00F6160C" w:rsidRPr="00C30F5B" w:rsidRDefault="00F6160C" w:rsidP="00C30F5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Applicants are willing to participate in these activities, shall send an e-mail to</w:t>
      </w:r>
      <w:r w:rsidR="00247F63" w:rsidRPr="00C30F5B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5" w:history="1">
        <w:r w:rsidR="00247F63" w:rsidRPr="00C30F5B">
          <w:rPr>
            <w:rStyle w:val="Collegamentoipertestuale"/>
            <w:rFonts w:ascii="Arial" w:hAnsi="Arial" w:cs="Arial"/>
            <w:b/>
            <w:bCs/>
            <w:sz w:val="20"/>
            <w:szCs w:val="20"/>
            <w:lang w:val="en-US"/>
          </w:rPr>
          <w:t>iraqnaseej@oxfam.org.uk</w:t>
        </w:r>
      </w:hyperlink>
    </w:p>
    <w:p w14:paraId="4DB7B203" w14:textId="77777777" w:rsidR="00F6160C" w:rsidRPr="00C30F5B" w:rsidRDefault="00F6160C" w:rsidP="00C30F5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They will then receive the schedule and program of the activities.</w:t>
      </w:r>
    </w:p>
    <w:p w14:paraId="1B34ED7E" w14:textId="77777777" w:rsidR="00F6160C" w:rsidRPr="00C30F5B" w:rsidRDefault="00F6160C" w:rsidP="00C30F5B">
      <w:pPr>
        <w:shd w:val="clear" w:color="auto" w:fill="FBD4B4" w:themeFill="accent6" w:themeFillTint="66"/>
        <w:jc w:val="both"/>
        <w:rPr>
          <w:rFonts w:ascii="Arial" w:hAnsi="Arial" w:cs="Arial"/>
          <w:b/>
          <w:bCs/>
          <w:lang w:val="en-US"/>
        </w:rPr>
      </w:pPr>
      <w:r w:rsidRPr="00C30F5B">
        <w:rPr>
          <w:rFonts w:ascii="Arial" w:hAnsi="Arial" w:cs="Arial"/>
          <w:b/>
          <w:bCs/>
          <w:lang w:val="en-US"/>
        </w:rPr>
        <w:t>How do I apply?</w:t>
      </w:r>
    </w:p>
    <w:p w14:paraId="5887AA6D" w14:textId="77777777" w:rsidR="00F6160C" w:rsidRPr="00C30F5B" w:rsidRDefault="00F6160C" w:rsidP="00C30F5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 xml:space="preserve">For full details on application modalities, check the full Call for proposals </w:t>
      </w:r>
      <w:r w:rsidR="00AA06BF" w:rsidRPr="00C30F5B">
        <w:rPr>
          <w:rFonts w:ascii="Arial" w:hAnsi="Arial" w:cs="Arial"/>
          <w:sz w:val="20"/>
          <w:szCs w:val="20"/>
          <w:lang w:val="en-US"/>
        </w:rPr>
        <w:t>on</w:t>
      </w:r>
      <w:r w:rsidR="00355C6B" w:rsidRPr="00C30F5B">
        <w:rPr>
          <w:rFonts w:ascii="Arial" w:hAnsi="Arial" w:cs="Arial"/>
          <w:sz w:val="20"/>
          <w:szCs w:val="20"/>
          <w:lang w:val="en-US"/>
        </w:rPr>
        <w:t xml:space="preserve"> </w:t>
      </w:r>
      <w:r w:rsidR="00ED5A0E" w:rsidRPr="00C30F5B">
        <w:rPr>
          <w:rFonts w:ascii="Arial" w:hAnsi="Arial" w:cs="Arial"/>
          <w:sz w:val="20"/>
          <w:szCs w:val="20"/>
          <w:lang w:val="en-US"/>
        </w:rPr>
        <w:t xml:space="preserve">NCCI website: </w:t>
      </w:r>
      <w:r w:rsidR="00ED5A0E" w:rsidRPr="0081703C">
        <w:rPr>
          <w:rFonts w:ascii="Arial" w:hAnsi="Arial" w:cs="Arial"/>
          <w:b/>
          <w:bCs/>
          <w:color w:val="0070C0"/>
          <w:sz w:val="20"/>
          <w:szCs w:val="20"/>
          <w:highlight w:val="yellow"/>
          <w:lang w:val="en-US"/>
        </w:rPr>
        <w:t>https://www.ncciraq.org/en/</w:t>
      </w:r>
      <w:proofErr w:type="gramStart"/>
      <w:r w:rsidR="00452554" w:rsidRPr="0081703C">
        <w:rPr>
          <w:rFonts w:ascii="Arial" w:hAnsi="Arial" w:cs="Arial"/>
          <w:b/>
          <w:bCs/>
          <w:color w:val="0070C0"/>
          <w:sz w:val="20"/>
          <w:szCs w:val="20"/>
          <w:highlight w:val="yellow"/>
          <w:lang w:val="en-US"/>
        </w:rPr>
        <w:t>....</w:t>
      </w:r>
      <w:r w:rsidR="00AA06BF" w:rsidRPr="0081703C">
        <w:rPr>
          <w:rFonts w:ascii="Arial" w:hAnsi="Arial" w:cs="Arial"/>
          <w:sz w:val="20"/>
          <w:szCs w:val="20"/>
          <w:highlight w:val="yellow"/>
          <w:lang w:val="en-US"/>
        </w:rPr>
        <w:t>.</w:t>
      </w:r>
      <w:proofErr w:type="gramEnd"/>
    </w:p>
    <w:p w14:paraId="67A20584" w14:textId="77777777" w:rsidR="00F6160C" w:rsidRPr="00C30F5B" w:rsidRDefault="00F6160C" w:rsidP="00C30F5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30F5B">
        <w:rPr>
          <w:rFonts w:ascii="Arial" w:hAnsi="Arial" w:cs="Arial"/>
          <w:sz w:val="20"/>
          <w:szCs w:val="20"/>
          <w:lang w:val="en-US"/>
        </w:rPr>
        <w:t>At the link you will also find all the application forms.</w:t>
      </w:r>
    </w:p>
    <w:p w14:paraId="4DBA84B3" w14:textId="77777777" w:rsidR="00293CB8" w:rsidRPr="00C30F5B" w:rsidRDefault="002F6B3A" w:rsidP="00C30F5B">
      <w:pPr>
        <w:jc w:val="both"/>
        <w:rPr>
          <w:rFonts w:ascii="Arial" w:hAnsi="Arial" w:cs="Arial"/>
          <w:lang w:val="en-US"/>
        </w:rPr>
      </w:pPr>
    </w:p>
    <w:sectPr w:rsidR="00293CB8" w:rsidRPr="00C30F5B" w:rsidSect="0081703C">
      <w:pgSz w:w="11906" w:h="16838"/>
      <w:pgMar w:top="1417" w:right="1417" w:bottom="1417" w:left="1417" w:header="708" w:footer="708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4C5C3" w14:textId="77777777" w:rsidR="002F6B3A" w:rsidRDefault="002F6B3A" w:rsidP="00C30F5B">
      <w:pPr>
        <w:spacing w:after="0" w:line="240" w:lineRule="auto"/>
      </w:pPr>
      <w:r>
        <w:separator/>
      </w:r>
    </w:p>
  </w:endnote>
  <w:endnote w:type="continuationSeparator" w:id="0">
    <w:p w14:paraId="5A404A70" w14:textId="77777777" w:rsidR="002F6B3A" w:rsidRDefault="002F6B3A" w:rsidP="00C30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17883"/>
      <w:docPartObj>
        <w:docPartGallery w:val="Page Numbers (Bottom of Page)"/>
        <w:docPartUnique/>
      </w:docPartObj>
    </w:sdtPr>
    <w:sdtEndPr/>
    <w:sdtContent>
      <w:p w14:paraId="2AC31739" w14:textId="623AB74A" w:rsidR="0081703C" w:rsidRDefault="0081703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0163C095" w14:textId="77777777" w:rsidR="0081703C" w:rsidRDefault="008170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A37CF" w14:textId="77777777" w:rsidR="002F6B3A" w:rsidRDefault="002F6B3A" w:rsidP="00C30F5B">
      <w:pPr>
        <w:spacing w:after="0" w:line="240" w:lineRule="auto"/>
      </w:pPr>
      <w:r>
        <w:separator/>
      </w:r>
    </w:p>
  </w:footnote>
  <w:footnote w:type="continuationSeparator" w:id="0">
    <w:p w14:paraId="1B91DF9D" w14:textId="77777777" w:rsidR="002F6B3A" w:rsidRDefault="002F6B3A" w:rsidP="00C30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B2558"/>
    <w:multiLevelType w:val="hybridMultilevel"/>
    <w:tmpl w:val="74DEF320"/>
    <w:lvl w:ilvl="0" w:tplc="CA7EE8AA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21DA6673"/>
    <w:multiLevelType w:val="hybridMultilevel"/>
    <w:tmpl w:val="E6806C92"/>
    <w:lvl w:ilvl="0" w:tplc="86341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B1DEB"/>
    <w:multiLevelType w:val="hybridMultilevel"/>
    <w:tmpl w:val="682A82A8"/>
    <w:lvl w:ilvl="0" w:tplc="ECC85E8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70C0"/>
        <w:sz w:val="18"/>
        <w:szCs w:val="18"/>
      </w:rPr>
    </w:lvl>
    <w:lvl w:ilvl="1" w:tplc="D7F4488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2E5E93"/>
    <w:multiLevelType w:val="hybridMultilevel"/>
    <w:tmpl w:val="121E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B3882"/>
    <w:multiLevelType w:val="hybridMultilevel"/>
    <w:tmpl w:val="5D20293C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60C"/>
    <w:rsid w:val="00006355"/>
    <w:rsid w:val="001040EA"/>
    <w:rsid w:val="00114D04"/>
    <w:rsid w:val="00155F5D"/>
    <w:rsid w:val="001C0E9B"/>
    <w:rsid w:val="001D43D2"/>
    <w:rsid w:val="002040D9"/>
    <w:rsid w:val="00247F63"/>
    <w:rsid w:val="002F651A"/>
    <w:rsid w:val="002F6B3A"/>
    <w:rsid w:val="00337E65"/>
    <w:rsid w:val="00355C6B"/>
    <w:rsid w:val="00366639"/>
    <w:rsid w:val="003B0CDE"/>
    <w:rsid w:val="00452554"/>
    <w:rsid w:val="004714E4"/>
    <w:rsid w:val="00586120"/>
    <w:rsid w:val="00596A9C"/>
    <w:rsid w:val="00763896"/>
    <w:rsid w:val="0081142A"/>
    <w:rsid w:val="0081703C"/>
    <w:rsid w:val="00884F7C"/>
    <w:rsid w:val="00995FF9"/>
    <w:rsid w:val="009C7BF2"/>
    <w:rsid w:val="00A411A1"/>
    <w:rsid w:val="00AA06BF"/>
    <w:rsid w:val="00B0003E"/>
    <w:rsid w:val="00BD6CCC"/>
    <w:rsid w:val="00C03D0E"/>
    <w:rsid w:val="00C26984"/>
    <w:rsid w:val="00C30F5B"/>
    <w:rsid w:val="00C42083"/>
    <w:rsid w:val="00C54B1C"/>
    <w:rsid w:val="00CA362C"/>
    <w:rsid w:val="00CA7AC2"/>
    <w:rsid w:val="00D477A4"/>
    <w:rsid w:val="00D50199"/>
    <w:rsid w:val="00D50D66"/>
    <w:rsid w:val="00D52E79"/>
    <w:rsid w:val="00D546B5"/>
    <w:rsid w:val="00DB4D9A"/>
    <w:rsid w:val="00DD3784"/>
    <w:rsid w:val="00E31EF1"/>
    <w:rsid w:val="00E3550A"/>
    <w:rsid w:val="00E45516"/>
    <w:rsid w:val="00E505BA"/>
    <w:rsid w:val="00E559EE"/>
    <w:rsid w:val="00ED5A0E"/>
    <w:rsid w:val="00F13EE5"/>
    <w:rsid w:val="00F151F6"/>
    <w:rsid w:val="00F6160C"/>
    <w:rsid w:val="00FE1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E912C"/>
  <w15:docId w15:val="{FC5A6E4B-6F89-4CF3-B0D2-DF2306D4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6160C"/>
    <w:rPr>
      <w:rFonts w:eastAsiaTheme="minorEastAsia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16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F6160C"/>
    <w:pPr>
      <w:ind w:left="720"/>
      <w:contextualSpacing/>
    </w:p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F6160C"/>
    <w:rPr>
      <w:rFonts w:eastAsiaTheme="minorEastAsia"/>
      <w:lang w:eastAsia="fr-FR"/>
    </w:rPr>
  </w:style>
  <w:style w:type="table" w:styleId="Elencochiaro-Colore5">
    <w:name w:val="Light List Accent 5"/>
    <w:basedOn w:val="Tabellanormale"/>
    <w:uiPriority w:val="61"/>
    <w:rsid w:val="00F6160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steclaire-Accent11">
    <w:name w:val="Liste claire - Accent 11"/>
    <w:basedOn w:val="Tabellanormale"/>
    <w:uiPriority w:val="61"/>
    <w:rsid w:val="00F6160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F6160C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160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160C"/>
    <w:rPr>
      <w:rFonts w:ascii="Tahoma" w:eastAsiaTheme="minorEastAsia" w:hAnsi="Tahoma" w:cs="Tahoma"/>
      <w:sz w:val="16"/>
      <w:szCs w:val="16"/>
      <w:lang w:eastAsia="fr-FR"/>
    </w:rPr>
  </w:style>
  <w:style w:type="character" w:styleId="Rimandocommento">
    <w:name w:val="annotation reference"/>
    <w:basedOn w:val="Carpredefinitoparagrafo"/>
    <w:uiPriority w:val="99"/>
    <w:semiHidden/>
    <w:unhideWhenUsed/>
    <w:rsid w:val="001C0E9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0E9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0E9B"/>
    <w:rPr>
      <w:rFonts w:eastAsiaTheme="minorEastAsia"/>
      <w:sz w:val="20"/>
      <w:szCs w:val="20"/>
      <w:lang w:eastAsia="fr-F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0E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0E9B"/>
    <w:rPr>
      <w:rFonts w:eastAsiaTheme="minorEastAsia"/>
      <w:b/>
      <w:bCs/>
      <w:sz w:val="20"/>
      <w:szCs w:val="20"/>
      <w:lang w:eastAsia="fr-FR"/>
    </w:rPr>
  </w:style>
  <w:style w:type="table" w:styleId="Tabellagriglia4-colore6">
    <w:name w:val="Grid Table 4 Accent 6"/>
    <w:basedOn w:val="Tabellanormale"/>
    <w:uiPriority w:val="49"/>
    <w:rsid w:val="00C30F5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C30F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3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F5B"/>
    <w:rPr>
      <w:rFonts w:eastAsiaTheme="minorEastAsia"/>
      <w:lang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C3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F5B"/>
    <w:rPr>
      <w:rFonts w:eastAsiaTheme="minorEastAsia"/>
      <w:lang w:eastAsia="fr-FR"/>
    </w:rPr>
  </w:style>
  <w:style w:type="table" w:styleId="Tabellaelenco4-colore6">
    <w:name w:val="List Table 4 Accent 6"/>
    <w:basedOn w:val="Tabellanormale"/>
    <w:uiPriority w:val="49"/>
    <w:rsid w:val="00C30F5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iraqnaseej@oxfam.org.uk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027CB-FEAB-4F66-BA54-617A8C25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912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Giada Cicognola</cp:lastModifiedBy>
  <cp:revision>21</cp:revision>
  <dcterms:created xsi:type="dcterms:W3CDTF">2020-05-25T16:05:00Z</dcterms:created>
  <dcterms:modified xsi:type="dcterms:W3CDTF">2020-07-06T12:38:00Z</dcterms:modified>
</cp:coreProperties>
</file>